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E7BA" w14:textId="1E929D68" w:rsidR="00437F81" w:rsidRPr="00710BD1" w:rsidRDefault="00437F81">
      <w:pPr>
        <w:rPr>
          <w:rFonts w:ascii="Arial" w:hAnsi="Arial" w:cs="Arial"/>
          <w:b/>
          <w:bCs/>
        </w:rPr>
      </w:pPr>
      <w:r w:rsidRPr="00710BD1">
        <w:rPr>
          <w:rFonts w:ascii="Arial" w:hAnsi="Arial" w:cs="Arial"/>
          <w:b/>
          <w:bCs/>
        </w:rPr>
        <w:t xml:space="preserve">Publication of the </w:t>
      </w:r>
      <w:r w:rsidR="002A44D7">
        <w:rPr>
          <w:rFonts w:ascii="Arial" w:hAnsi="Arial" w:cs="Arial"/>
          <w:b/>
          <w:bCs/>
        </w:rPr>
        <w:t xml:space="preserve">2021-2022 </w:t>
      </w:r>
      <w:r w:rsidRPr="00710BD1">
        <w:rPr>
          <w:rFonts w:ascii="Arial" w:hAnsi="Arial" w:cs="Arial"/>
          <w:b/>
          <w:bCs/>
        </w:rPr>
        <w:t xml:space="preserve">final </w:t>
      </w:r>
      <w:r w:rsidR="002A44D7">
        <w:rPr>
          <w:rFonts w:ascii="Arial" w:hAnsi="Arial" w:cs="Arial"/>
          <w:b/>
          <w:bCs/>
        </w:rPr>
        <w:t xml:space="preserve">actual </w:t>
      </w:r>
      <w:r w:rsidRPr="00710BD1">
        <w:rPr>
          <w:rFonts w:ascii="Arial" w:hAnsi="Arial" w:cs="Arial"/>
          <w:b/>
          <w:bCs/>
        </w:rPr>
        <w:t xml:space="preserve">data that was not available at the time publication of the Department of Seniors, Disability Services and Aboriginal and Torres Strait Islander Partnerships 2021-2022 Annual Report. </w:t>
      </w:r>
    </w:p>
    <w:p w14:paraId="67A01763" w14:textId="4593C23E" w:rsidR="00437F81" w:rsidRDefault="005C01A6">
      <w:pPr>
        <w:rPr>
          <w:rFonts w:ascii="Arial" w:hAnsi="Arial" w:cs="Arial"/>
        </w:rPr>
      </w:pPr>
      <w:r>
        <w:rPr>
          <w:rFonts w:ascii="Arial" w:hAnsi="Arial" w:cs="Arial"/>
        </w:rPr>
        <w:t>A</w:t>
      </w:r>
      <w:r w:rsidR="007359E0">
        <w:rPr>
          <w:rFonts w:ascii="Arial" w:hAnsi="Arial" w:cs="Arial"/>
        </w:rPr>
        <w:t xml:space="preserve">s per </w:t>
      </w:r>
      <w:r w:rsidR="00437F81" w:rsidRPr="00710BD1">
        <w:rPr>
          <w:rFonts w:ascii="Arial" w:hAnsi="Arial" w:cs="Arial"/>
        </w:rPr>
        <w:t xml:space="preserve">the notes on page 45 </w:t>
      </w:r>
      <w:r w:rsidR="00710BD1" w:rsidRPr="00710BD1">
        <w:rPr>
          <w:rFonts w:ascii="Arial" w:hAnsi="Arial" w:cs="Arial"/>
        </w:rPr>
        <w:t>of the Department of Seniors, Disability Services and Aboriginal and Torres Strait Islander Partnerships 2021-2022 Annual Report</w:t>
      </w:r>
      <w:r>
        <w:rPr>
          <w:rFonts w:ascii="Arial" w:hAnsi="Arial" w:cs="Arial"/>
        </w:rPr>
        <w:t>, t</w:t>
      </w:r>
      <w:r w:rsidRPr="005C01A6">
        <w:rPr>
          <w:rFonts w:ascii="Arial" w:hAnsi="Arial" w:cs="Arial"/>
        </w:rPr>
        <w:t xml:space="preserve">he table </w:t>
      </w:r>
      <w:r>
        <w:rPr>
          <w:rFonts w:ascii="Arial" w:hAnsi="Arial" w:cs="Arial"/>
        </w:rPr>
        <w:t xml:space="preserve">below </w:t>
      </w:r>
      <w:r w:rsidRPr="005C01A6">
        <w:rPr>
          <w:rFonts w:ascii="Arial" w:hAnsi="Arial" w:cs="Arial"/>
        </w:rPr>
        <w:t>reports the finalised dat</w:t>
      </w:r>
      <w:r>
        <w:rPr>
          <w:rFonts w:ascii="Arial" w:hAnsi="Arial" w:cs="Arial"/>
        </w:rPr>
        <w:t>a</w:t>
      </w:r>
      <w:r w:rsidR="002A44D7">
        <w:rPr>
          <w:rFonts w:ascii="Arial" w:hAnsi="Arial" w:cs="Arial"/>
        </w:rPr>
        <w:t xml:space="preserve"> for 2021-2022</w:t>
      </w:r>
      <w:r>
        <w:rPr>
          <w:rFonts w:ascii="Arial" w:hAnsi="Arial" w:cs="Arial"/>
        </w:rPr>
        <w:t>.</w:t>
      </w:r>
    </w:p>
    <w:p w14:paraId="05FDB73C" w14:textId="77777777" w:rsidR="00C907A0" w:rsidRPr="00C907A0" w:rsidRDefault="00C907A0" w:rsidP="00C907A0">
      <w:pPr>
        <w:keepNext/>
        <w:spacing w:before="240" w:after="120" w:line="240" w:lineRule="auto"/>
        <w:outlineLvl w:val="1"/>
        <w:rPr>
          <w:rFonts w:ascii="Arial" w:eastAsia="Calibri" w:hAnsi="Arial" w:cs="Arial"/>
          <w:bCs/>
          <w:iCs/>
          <w:sz w:val="20"/>
          <w:szCs w:val="20"/>
          <w:lang w:val="en-US"/>
        </w:rPr>
      </w:pPr>
      <w:bookmarkStart w:id="0" w:name="_Toc113544394"/>
      <w:r w:rsidRPr="00C907A0">
        <w:rPr>
          <w:rFonts w:ascii="Arial" w:eastAsia="Calibri" w:hAnsi="Arial" w:cs="Arial"/>
          <w:bCs/>
          <w:iCs/>
          <w:sz w:val="32"/>
          <w:szCs w:val="32"/>
        </w:rPr>
        <w:t>Our Performance—Aboriginal and Torres Strait Islander Partnerships, Economic Participation</w:t>
      </w:r>
      <w:bookmarkEnd w:id="0"/>
    </w:p>
    <w:tbl>
      <w:tblPr>
        <w:tblStyle w:val="Style1"/>
        <w:tblpPr w:leftFromText="180" w:rightFromText="180" w:vertAnchor="page" w:horzAnchor="margin" w:tblpY="3406"/>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4"/>
        <w:gridCol w:w="2139"/>
        <w:gridCol w:w="2302"/>
        <w:gridCol w:w="2329"/>
        <w:gridCol w:w="2324"/>
      </w:tblGrid>
      <w:tr w:rsidR="00C907A0" w:rsidRPr="00710BD1" w14:paraId="140C02A4" w14:textId="77777777" w:rsidTr="00C907A0">
        <w:trPr>
          <w:trHeight w:val="1264"/>
        </w:trPr>
        <w:tc>
          <w:tcPr>
            <w:tcW w:w="4854" w:type="dxa"/>
            <w:shd w:val="clear" w:color="auto" w:fill="F2F2F2" w:themeFill="background1" w:themeFillShade="F2"/>
            <w:tcMar>
              <w:top w:w="0" w:type="dxa"/>
              <w:left w:w="108" w:type="dxa"/>
              <w:bottom w:w="0" w:type="dxa"/>
              <w:right w:w="108" w:type="dxa"/>
            </w:tcMar>
            <w:hideMark/>
          </w:tcPr>
          <w:p w14:paraId="0E74FC7B" w14:textId="77777777" w:rsidR="00C907A0" w:rsidRPr="00437F81" w:rsidRDefault="00C907A0" w:rsidP="00C907A0">
            <w:pPr>
              <w:spacing w:after="120"/>
              <w:rPr>
                <w:rFonts w:ascii="Arial" w:eastAsia="Calibri" w:hAnsi="Arial" w:cs="Arial"/>
                <w:sz w:val="19"/>
                <w:szCs w:val="19"/>
              </w:rPr>
            </w:pPr>
            <w:r w:rsidRPr="00437F81">
              <w:rPr>
                <w:rFonts w:ascii="Arial" w:eastAsia="Times New Roman" w:hAnsi="Arial" w:cs="Arial"/>
                <w:b/>
                <w:bCs/>
                <w:sz w:val="21"/>
                <w:szCs w:val="21"/>
                <w:lang w:eastAsia="en-AU"/>
              </w:rPr>
              <w:t>S</w:t>
            </w:r>
            <w:r w:rsidRPr="00710BD1">
              <w:rPr>
                <w:rFonts w:ascii="Arial" w:eastAsia="Times New Roman" w:hAnsi="Arial" w:cs="Arial"/>
                <w:b/>
                <w:bCs/>
                <w:sz w:val="21"/>
                <w:szCs w:val="21"/>
                <w:lang w:eastAsia="en-AU"/>
              </w:rPr>
              <w:t>ervice Standards</w:t>
            </w:r>
          </w:p>
        </w:tc>
        <w:tc>
          <w:tcPr>
            <w:tcW w:w="2139" w:type="dxa"/>
            <w:shd w:val="clear" w:color="auto" w:fill="F2F2F2" w:themeFill="background1" w:themeFillShade="F2"/>
          </w:tcPr>
          <w:p w14:paraId="3906A877" w14:textId="77777777" w:rsidR="00C907A0" w:rsidRPr="00437F81" w:rsidRDefault="00C907A0" w:rsidP="00C907A0">
            <w:pPr>
              <w:spacing w:after="120"/>
              <w:jc w:val="center"/>
              <w:rPr>
                <w:rFonts w:ascii="Arial" w:eastAsia="Times New Roman" w:hAnsi="Arial" w:cs="Arial"/>
                <w:b/>
                <w:bCs/>
                <w:sz w:val="21"/>
                <w:szCs w:val="21"/>
                <w:lang w:eastAsia="en-AU"/>
              </w:rPr>
            </w:pPr>
            <w:r>
              <w:rPr>
                <w:rFonts w:ascii="Arial" w:eastAsia="Times New Roman" w:hAnsi="Arial" w:cs="Arial"/>
                <w:b/>
                <w:bCs/>
                <w:sz w:val="21"/>
                <w:szCs w:val="21"/>
                <w:lang w:eastAsia="en-AU"/>
              </w:rPr>
              <w:t>Notes</w:t>
            </w:r>
          </w:p>
        </w:tc>
        <w:tc>
          <w:tcPr>
            <w:tcW w:w="2302" w:type="dxa"/>
            <w:shd w:val="clear" w:color="auto" w:fill="F2F2F2" w:themeFill="background1" w:themeFillShade="F2"/>
            <w:tcMar>
              <w:top w:w="0" w:type="dxa"/>
              <w:left w:w="108" w:type="dxa"/>
              <w:bottom w:w="0" w:type="dxa"/>
              <w:right w:w="108" w:type="dxa"/>
            </w:tcMar>
            <w:hideMark/>
          </w:tcPr>
          <w:p w14:paraId="4F79B665" w14:textId="77777777" w:rsidR="00C907A0" w:rsidRPr="00710BD1" w:rsidRDefault="00C907A0" w:rsidP="00C907A0">
            <w:pPr>
              <w:spacing w:after="120"/>
              <w:jc w:val="center"/>
              <w:rPr>
                <w:rFonts w:ascii="Arial" w:eastAsia="Times New Roman" w:hAnsi="Arial" w:cs="Arial"/>
                <w:b/>
                <w:bCs/>
                <w:sz w:val="21"/>
                <w:szCs w:val="21"/>
                <w:lang w:eastAsia="en-AU"/>
              </w:rPr>
            </w:pPr>
            <w:r w:rsidRPr="00437F81">
              <w:rPr>
                <w:rFonts w:ascii="Arial" w:eastAsia="Times New Roman" w:hAnsi="Arial" w:cs="Arial"/>
                <w:b/>
                <w:bCs/>
                <w:sz w:val="21"/>
                <w:szCs w:val="21"/>
                <w:lang w:eastAsia="en-AU"/>
              </w:rPr>
              <w:t>2021-</w:t>
            </w:r>
            <w:r w:rsidRPr="00710BD1">
              <w:rPr>
                <w:rFonts w:ascii="Arial" w:eastAsia="Times New Roman" w:hAnsi="Arial" w:cs="Arial"/>
                <w:b/>
                <w:bCs/>
                <w:sz w:val="21"/>
                <w:szCs w:val="21"/>
                <w:lang w:eastAsia="en-AU"/>
              </w:rPr>
              <w:t>20</w:t>
            </w:r>
            <w:r w:rsidRPr="00437F81">
              <w:rPr>
                <w:rFonts w:ascii="Arial" w:eastAsia="Times New Roman" w:hAnsi="Arial" w:cs="Arial"/>
                <w:b/>
                <w:bCs/>
                <w:sz w:val="21"/>
                <w:szCs w:val="21"/>
                <w:lang w:eastAsia="en-AU"/>
              </w:rPr>
              <w:t xml:space="preserve">22 </w:t>
            </w:r>
          </w:p>
          <w:p w14:paraId="0B572061" w14:textId="77777777" w:rsidR="00C907A0" w:rsidRPr="00437F81" w:rsidRDefault="00C907A0" w:rsidP="00C907A0">
            <w:pPr>
              <w:spacing w:after="120"/>
              <w:jc w:val="center"/>
              <w:rPr>
                <w:rFonts w:ascii="Arial" w:eastAsia="Times New Roman" w:hAnsi="Arial" w:cs="Arial"/>
                <w:b/>
                <w:bCs/>
                <w:sz w:val="21"/>
                <w:szCs w:val="21"/>
                <w:lang w:eastAsia="en-AU"/>
              </w:rPr>
            </w:pPr>
            <w:r w:rsidRPr="00437F81">
              <w:rPr>
                <w:rFonts w:ascii="Arial" w:eastAsia="Times New Roman" w:hAnsi="Arial" w:cs="Arial"/>
                <w:b/>
                <w:bCs/>
                <w:sz w:val="21"/>
                <w:szCs w:val="21"/>
                <w:lang w:eastAsia="en-AU"/>
              </w:rPr>
              <w:t>Target</w:t>
            </w:r>
          </w:p>
        </w:tc>
        <w:tc>
          <w:tcPr>
            <w:tcW w:w="2329" w:type="dxa"/>
            <w:shd w:val="clear" w:color="auto" w:fill="F2F2F2" w:themeFill="background1" w:themeFillShade="F2"/>
          </w:tcPr>
          <w:p w14:paraId="2881DAFE" w14:textId="77777777" w:rsidR="00C907A0" w:rsidRPr="00710BD1" w:rsidRDefault="00C907A0" w:rsidP="00C907A0">
            <w:pPr>
              <w:jc w:val="center"/>
              <w:rPr>
                <w:rFonts w:ascii="Arial" w:eastAsia="Times New Roman" w:hAnsi="Arial" w:cs="Arial"/>
                <w:b/>
                <w:bCs/>
                <w:sz w:val="21"/>
                <w:szCs w:val="21"/>
                <w:lang w:eastAsia="en-AU"/>
              </w:rPr>
            </w:pPr>
            <w:r w:rsidRPr="00710BD1">
              <w:rPr>
                <w:rFonts w:ascii="Arial" w:eastAsia="Times New Roman" w:hAnsi="Arial" w:cs="Arial"/>
                <w:b/>
                <w:bCs/>
                <w:sz w:val="21"/>
                <w:szCs w:val="21"/>
                <w:lang w:eastAsia="en-AU"/>
              </w:rPr>
              <w:t xml:space="preserve">Data published in the 2021-2022 Annual Report  </w:t>
            </w:r>
          </w:p>
          <w:p w14:paraId="18BB0D21" w14:textId="77777777" w:rsidR="00C907A0" w:rsidRPr="00710BD1" w:rsidRDefault="00C907A0" w:rsidP="00C907A0">
            <w:pPr>
              <w:jc w:val="center"/>
              <w:rPr>
                <w:rFonts w:ascii="Arial" w:eastAsia="Times New Roman" w:hAnsi="Arial" w:cs="Arial"/>
                <w:b/>
                <w:bCs/>
                <w:sz w:val="18"/>
                <w:szCs w:val="18"/>
                <w:lang w:eastAsia="en-AU"/>
              </w:rPr>
            </w:pPr>
            <w:r w:rsidRPr="00710BD1">
              <w:rPr>
                <w:rFonts w:ascii="Arial" w:eastAsia="Times New Roman" w:hAnsi="Arial" w:cs="Arial"/>
                <w:b/>
                <w:bCs/>
                <w:sz w:val="18"/>
                <w:szCs w:val="18"/>
                <w:lang w:eastAsia="en-AU"/>
              </w:rPr>
              <w:t>(</w:t>
            </w:r>
            <w:r>
              <w:rPr>
                <w:rFonts w:ascii="Arial" w:eastAsia="Times New Roman" w:hAnsi="Arial" w:cs="Arial"/>
                <w:b/>
                <w:bCs/>
                <w:sz w:val="18"/>
                <w:szCs w:val="18"/>
                <w:lang w:eastAsia="en-AU"/>
              </w:rPr>
              <w:t>P</w:t>
            </w:r>
            <w:r w:rsidRPr="00710BD1">
              <w:rPr>
                <w:rFonts w:ascii="Arial" w:eastAsia="Times New Roman" w:hAnsi="Arial" w:cs="Arial"/>
                <w:b/>
                <w:bCs/>
                <w:sz w:val="18"/>
                <w:szCs w:val="18"/>
                <w:lang w:eastAsia="en-AU"/>
              </w:rPr>
              <w:t>age 44)</w:t>
            </w:r>
          </w:p>
          <w:p w14:paraId="5AF37012" w14:textId="77777777" w:rsidR="00C907A0" w:rsidRPr="00710BD1" w:rsidRDefault="00C907A0" w:rsidP="00C907A0">
            <w:pPr>
              <w:jc w:val="center"/>
              <w:rPr>
                <w:rFonts w:ascii="Arial" w:eastAsia="Times New Roman" w:hAnsi="Arial" w:cs="Arial"/>
                <w:b/>
                <w:bCs/>
                <w:sz w:val="21"/>
                <w:szCs w:val="21"/>
                <w:lang w:eastAsia="en-AU"/>
              </w:rPr>
            </w:pPr>
          </w:p>
          <w:p w14:paraId="481F4E83" w14:textId="77777777" w:rsidR="00C907A0" w:rsidRPr="00710BD1" w:rsidRDefault="00C907A0" w:rsidP="00C907A0">
            <w:pPr>
              <w:jc w:val="center"/>
              <w:rPr>
                <w:rFonts w:ascii="Arial" w:eastAsia="Times New Roman" w:hAnsi="Arial" w:cs="Arial"/>
                <w:b/>
                <w:bCs/>
                <w:sz w:val="21"/>
                <w:szCs w:val="21"/>
                <w:lang w:eastAsia="en-AU"/>
              </w:rPr>
            </w:pPr>
            <w:r>
              <w:rPr>
                <w:rFonts w:ascii="Arial" w:eastAsia="Times New Roman" w:hAnsi="Arial" w:cs="Arial"/>
                <w:b/>
                <w:bCs/>
                <w:sz w:val="18"/>
                <w:szCs w:val="18"/>
                <w:lang w:eastAsia="en-AU"/>
              </w:rPr>
              <w:t>* D</w:t>
            </w:r>
            <w:r w:rsidRPr="00710BD1">
              <w:rPr>
                <w:rFonts w:ascii="Arial" w:eastAsia="Times New Roman" w:hAnsi="Arial" w:cs="Arial"/>
                <w:b/>
                <w:bCs/>
                <w:sz w:val="18"/>
                <w:szCs w:val="18"/>
                <w:lang w:eastAsia="en-AU"/>
              </w:rPr>
              <w:t>ata as at 31 March 2022</w:t>
            </w:r>
          </w:p>
        </w:tc>
        <w:tc>
          <w:tcPr>
            <w:tcW w:w="2324" w:type="dxa"/>
            <w:shd w:val="clear" w:color="auto" w:fill="F2F2F2" w:themeFill="background1" w:themeFillShade="F2"/>
            <w:tcMar>
              <w:top w:w="0" w:type="dxa"/>
              <w:left w:w="108" w:type="dxa"/>
              <w:bottom w:w="0" w:type="dxa"/>
              <w:right w:w="108" w:type="dxa"/>
            </w:tcMar>
            <w:hideMark/>
          </w:tcPr>
          <w:p w14:paraId="7413C79C" w14:textId="77777777" w:rsidR="00C907A0" w:rsidRPr="00710BD1" w:rsidRDefault="00C907A0" w:rsidP="00C907A0">
            <w:pPr>
              <w:spacing w:after="120"/>
              <w:jc w:val="center"/>
              <w:rPr>
                <w:rFonts w:ascii="Arial" w:eastAsia="Times New Roman" w:hAnsi="Arial" w:cs="Arial"/>
                <w:b/>
                <w:bCs/>
                <w:sz w:val="21"/>
                <w:szCs w:val="21"/>
                <w:lang w:eastAsia="en-AU"/>
              </w:rPr>
            </w:pPr>
            <w:r w:rsidRPr="00437F81">
              <w:rPr>
                <w:rFonts w:ascii="Arial" w:eastAsia="Times New Roman" w:hAnsi="Arial" w:cs="Arial"/>
                <w:b/>
                <w:bCs/>
                <w:sz w:val="21"/>
                <w:szCs w:val="21"/>
                <w:lang w:eastAsia="en-AU"/>
              </w:rPr>
              <w:t>2021-</w:t>
            </w:r>
            <w:r w:rsidRPr="00710BD1">
              <w:rPr>
                <w:rFonts w:ascii="Arial" w:eastAsia="Times New Roman" w:hAnsi="Arial" w:cs="Arial"/>
                <w:b/>
                <w:bCs/>
                <w:sz w:val="21"/>
                <w:szCs w:val="21"/>
                <w:lang w:eastAsia="en-AU"/>
              </w:rPr>
              <w:t>20</w:t>
            </w:r>
            <w:r w:rsidRPr="00437F81">
              <w:rPr>
                <w:rFonts w:ascii="Arial" w:eastAsia="Times New Roman" w:hAnsi="Arial" w:cs="Arial"/>
                <w:b/>
                <w:bCs/>
                <w:sz w:val="21"/>
                <w:szCs w:val="21"/>
                <w:lang w:eastAsia="en-AU"/>
              </w:rPr>
              <w:t xml:space="preserve">22 </w:t>
            </w:r>
          </w:p>
          <w:p w14:paraId="35DDAB93" w14:textId="60D391A0" w:rsidR="00C907A0" w:rsidRPr="00437F81" w:rsidRDefault="00C907A0" w:rsidP="00C907A0">
            <w:pPr>
              <w:spacing w:after="120"/>
              <w:jc w:val="center"/>
              <w:rPr>
                <w:rFonts w:ascii="Arial" w:eastAsia="Times New Roman" w:hAnsi="Arial" w:cs="Arial"/>
                <w:b/>
                <w:bCs/>
                <w:sz w:val="21"/>
                <w:szCs w:val="21"/>
                <w:lang w:eastAsia="en-AU"/>
              </w:rPr>
            </w:pPr>
            <w:r w:rsidRPr="00437F81">
              <w:rPr>
                <w:rFonts w:ascii="Arial" w:eastAsia="Times New Roman" w:hAnsi="Arial" w:cs="Arial"/>
                <w:b/>
                <w:bCs/>
                <w:sz w:val="21"/>
                <w:szCs w:val="21"/>
                <w:lang w:eastAsia="en-AU"/>
              </w:rPr>
              <w:t>Actual</w:t>
            </w:r>
          </w:p>
        </w:tc>
      </w:tr>
      <w:tr w:rsidR="00C907A0" w:rsidRPr="00710BD1" w14:paraId="4BFF733E" w14:textId="77777777" w:rsidTr="00C907A0">
        <w:tc>
          <w:tcPr>
            <w:tcW w:w="4854" w:type="dxa"/>
            <w:tcMar>
              <w:top w:w="0" w:type="dxa"/>
              <w:left w:w="108" w:type="dxa"/>
              <w:bottom w:w="0" w:type="dxa"/>
              <w:right w:w="108" w:type="dxa"/>
            </w:tcMar>
          </w:tcPr>
          <w:p w14:paraId="2BCE180F" w14:textId="77777777" w:rsidR="00C907A0" w:rsidRPr="00437F81" w:rsidRDefault="00C907A0" w:rsidP="00C907A0">
            <w:pPr>
              <w:spacing w:after="200" w:line="276" w:lineRule="auto"/>
              <w:rPr>
                <w:rFonts w:ascii="Arial" w:eastAsia="Calibri" w:hAnsi="Arial" w:cs="Arial"/>
                <w:sz w:val="21"/>
                <w:szCs w:val="21"/>
              </w:rPr>
            </w:pPr>
            <w:r w:rsidRPr="00710BD1">
              <w:rPr>
                <w:rFonts w:ascii="Arial" w:eastAsia="Times New Roman" w:hAnsi="Arial" w:cs="Arial"/>
                <w:i/>
                <w:iCs/>
                <w:sz w:val="21"/>
                <w:szCs w:val="21"/>
                <w:lang w:eastAsia="en-AU"/>
              </w:rPr>
              <w:t>Effectiveness measures</w:t>
            </w:r>
          </w:p>
        </w:tc>
        <w:tc>
          <w:tcPr>
            <w:tcW w:w="2139" w:type="dxa"/>
          </w:tcPr>
          <w:p w14:paraId="1C7DC00F" w14:textId="77777777" w:rsidR="00C907A0" w:rsidRPr="00437F81" w:rsidRDefault="00C907A0" w:rsidP="00C907A0">
            <w:pPr>
              <w:spacing w:after="200" w:line="276" w:lineRule="auto"/>
              <w:jc w:val="center"/>
              <w:rPr>
                <w:rFonts w:ascii="Arial" w:eastAsia="Calibri" w:hAnsi="Arial" w:cs="Arial"/>
                <w:sz w:val="21"/>
                <w:szCs w:val="21"/>
              </w:rPr>
            </w:pPr>
          </w:p>
        </w:tc>
        <w:tc>
          <w:tcPr>
            <w:tcW w:w="2302" w:type="dxa"/>
            <w:tcMar>
              <w:top w:w="0" w:type="dxa"/>
              <w:left w:w="108" w:type="dxa"/>
              <w:bottom w:w="0" w:type="dxa"/>
              <w:right w:w="108" w:type="dxa"/>
            </w:tcMar>
          </w:tcPr>
          <w:p w14:paraId="1F3DB34D" w14:textId="77777777" w:rsidR="00C907A0" w:rsidRPr="00437F81" w:rsidRDefault="00C907A0" w:rsidP="00C907A0">
            <w:pPr>
              <w:spacing w:after="200" w:line="276" w:lineRule="auto"/>
              <w:jc w:val="center"/>
              <w:rPr>
                <w:rFonts w:ascii="Arial" w:eastAsia="Calibri" w:hAnsi="Arial" w:cs="Arial"/>
                <w:sz w:val="21"/>
                <w:szCs w:val="21"/>
              </w:rPr>
            </w:pPr>
          </w:p>
        </w:tc>
        <w:tc>
          <w:tcPr>
            <w:tcW w:w="2329" w:type="dxa"/>
          </w:tcPr>
          <w:p w14:paraId="1D145F20" w14:textId="77777777" w:rsidR="00C907A0" w:rsidRPr="00710BD1" w:rsidRDefault="00C907A0" w:rsidP="00C907A0">
            <w:pPr>
              <w:spacing w:after="200" w:line="276" w:lineRule="auto"/>
              <w:jc w:val="center"/>
              <w:rPr>
                <w:rFonts w:ascii="Arial" w:eastAsia="Calibri" w:hAnsi="Arial" w:cs="Arial"/>
                <w:sz w:val="21"/>
                <w:szCs w:val="21"/>
              </w:rPr>
            </w:pPr>
          </w:p>
        </w:tc>
        <w:tc>
          <w:tcPr>
            <w:tcW w:w="2324" w:type="dxa"/>
            <w:tcMar>
              <w:top w:w="0" w:type="dxa"/>
              <w:left w:w="108" w:type="dxa"/>
              <w:bottom w:w="0" w:type="dxa"/>
              <w:right w:w="108" w:type="dxa"/>
            </w:tcMar>
          </w:tcPr>
          <w:p w14:paraId="31921369" w14:textId="77777777" w:rsidR="00C907A0" w:rsidRPr="00437F81" w:rsidRDefault="00C907A0" w:rsidP="00C907A0">
            <w:pPr>
              <w:spacing w:after="200" w:line="276" w:lineRule="auto"/>
              <w:jc w:val="center"/>
              <w:rPr>
                <w:rFonts w:ascii="Arial" w:eastAsia="Calibri" w:hAnsi="Arial" w:cs="Arial"/>
                <w:sz w:val="21"/>
                <w:szCs w:val="21"/>
              </w:rPr>
            </w:pPr>
          </w:p>
        </w:tc>
      </w:tr>
      <w:tr w:rsidR="00C907A0" w:rsidRPr="00710BD1" w14:paraId="6BB568C6" w14:textId="77777777" w:rsidTr="00C907A0">
        <w:tc>
          <w:tcPr>
            <w:tcW w:w="4854" w:type="dxa"/>
            <w:tcMar>
              <w:top w:w="0" w:type="dxa"/>
              <w:left w:w="108" w:type="dxa"/>
              <w:bottom w:w="0" w:type="dxa"/>
              <w:right w:w="108" w:type="dxa"/>
            </w:tcMar>
            <w:hideMark/>
          </w:tcPr>
          <w:p w14:paraId="21F4F209" w14:textId="77777777" w:rsidR="00C907A0" w:rsidRPr="00437F81" w:rsidRDefault="00C907A0" w:rsidP="00C907A0">
            <w:pPr>
              <w:spacing w:after="200" w:line="276" w:lineRule="auto"/>
              <w:rPr>
                <w:rFonts w:ascii="Arial" w:eastAsia="Calibri" w:hAnsi="Arial" w:cs="Arial"/>
                <w:sz w:val="21"/>
                <w:szCs w:val="21"/>
              </w:rPr>
            </w:pPr>
            <w:r w:rsidRPr="00437F81">
              <w:rPr>
                <w:rFonts w:ascii="Arial" w:eastAsia="Calibri" w:hAnsi="Arial" w:cs="Arial"/>
                <w:sz w:val="21"/>
                <w:szCs w:val="21"/>
              </w:rPr>
              <w:t>Number of Aboriginal and Torres Strait Islander businesses securing</w:t>
            </w:r>
            <w:r w:rsidRPr="00710BD1">
              <w:rPr>
                <w:rFonts w:ascii="Arial" w:eastAsia="Calibri" w:hAnsi="Arial" w:cs="Arial"/>
                <w:sz w:val="21"/>
                <w:szCs w:val="21"/>
              </w:rPr>
              <w:t xml:space="preserve"> </w:t>
            </w:r>
            <w:r w:rsidRPr="00437F81">
              <w:rPr>
                <w:rFonts w:ascii="Arial" w:eastAsia="Calibri" w:hAnsi="Arial" w:cs="Arial"/>
                <w:sz w:val="21"/>
                <w:szCs w:val="21"/>
              </w:rPr>
              <w:t xml:space="preserve">government procurement </w:t>
            </w:r>
          </w:p>
        </w:tc>
        <w:tc>
          <w:tcPr>
            <w:tcW w:w="2139" w:type="dxa"/>
          </w:tcPr>
          <w:p w14:paraId="4CF5F4F2" w14:textId="77777777" w:rsidR="00C907A0" w:rsidRPr="00437F81" w:rsidRDefault="00C907A0" w:rsidP="00C907A0">
            <w:pPr>
              <w:spacing w:after="200" w:line="276" w:lineRule="auto"/>
              <w:jc w:val="center"/>
              <w:rPr>
                <w:rFonts w:ascii="Arial" w:eastAsia="Calibri" w:hAnsi="Arial" w:cs="Arial"/>
                <w:sz w:val="21"/>
                <w:szCs w:val="21"/>
              </w:rPr>
            </w:pPr>
            <w:r>
              <w:rPr>
                <w:rFonts w:ascii="Arial" w:eastAsia="Calibri" w:hAnsi="Arial" w:cs="Arial"/>
                <w:sz w:val="21"/>
                <w:szCs w:val="21"/>
              </w:rPr>
              <w:t>1</w:t>
            </w:r>
          </w:p>
        </w:tc>
        <w:tc>
          <w:tcPr>
            <w:tcW w:w="2302" w:type="dxa"/>
            <w:tcMar>
              <w:top w:w="0" w:type="dxa"/>
              <w:left w:w="108" w:type="dxa"/>
              <w:bottom w:w="0" w:type="dxa"/>
              <w:right w:w="108" w:type="dxa"/>
            </w:tcMar>
            <w:hideMark/>
          </w:tcPr>
          <w:p w14:paraId="12C2D22A" w14:textId="77777777" w:rsidR="00C907A0" w:rsidRPr="00437F81" w:rsidRDefault="00C907A0" w:rsidP="00C907A0">
            <w:pPr>
              <w:spacing w:after="200" w:line="276" w:lineRule="auto"/>
              <w:jc w:val="center"/>
              <w:rPr>
                <w:rFonts w:ascii="Arial" w:eastAsia="Calibri" w:hAnsi="Arial" w:cs="Arial"/>
                <w:sz w:val="21"/>
                <w:szCs w:val="21"/>
              </w:rPr>
            </w:pPr>
            <w:r w:rsidRPr="00437F81">
              <w:rPr>
                <w:rFonts w:ascii="Arial" w:eastAsia="Calibri" w:hAnsi="Arial" w:cs="Arial"/>
                <w:sz w:val="21"/>
                <w:szCs w:val="21"/>
              </w:rPr>
              <w:t>450</w:t>
            </w:r>
          </w:p>
        </w:tc>
        <w:tc>
          <w:tcPr>
            <w:tcW w:w="2329" w:type="dxa"/>
          </w:tcPr>
          <w:p w14:paraId="57055E76" w14:textId="77777777" w:rsidR="00C907A0" w:rsidRPr="00710BD1" w:rsidRDefault="00C907A0" w:rsidP="00C907A0">
            <w:pPr>
              <w:spacing w:after="200" w:line="276" w:lineRule="auto"/>
              <w:jc w:val="center"/>
              <w:rPr>
                <w:rFonts w:ascii="Arial" w:eastAsia="Calibri" w:hAnsi="Arial" w:cs="Arial"/>
                <w:sz w:val="21"/>
                <w:szCs w:val="21"/>
              </w:rPr>
            </w:pPr>
            <w:r w:rsidRPr="00710BD1">
              <w:rPr>
                <w:rFonts w:ascii="Arial" w:eastAsia="Calibri" w:hAnsi="Arial" w:cs="Arial"/>
                <w:sz w:val="21"/>
                <w:szCs w:val="21"/>
              </w:rPr>
              <w:t>475</w:t>
            </w:r>
            <w:r>
              <w:rPr>
                <w:rFonts w:ascii="Arial" w:eastAsia="Calibri" w:hAnsi="Arial" w:cs="Arial"/>
                <w:sz w:val="21"/>
                <w:szCs w:val="21"/>
              </w:rPr>
              <w:t>*</w:t>
            </w:r>
          </w:p>
        </w:tc>
        <w:tc>
          <w:tcPr>
            <w:tcW w:w="2324" w:type="dxa"/>
            <w:tcMar>
              <w:top w:w="0" w:type="dxa"/>
              <w:left w:w="108" w:type="dxa"/>
              <w:bottom w:w="0" w:type="dxa"/>
              <w:right w:w="108" w:type="dxa"/>
            </w:tcMar>
            <w:hideMark/>
          </w:tcPr>
          <w:p w14:paraId="0405C078" w14:textId="77777777" w:rsidR="00C907A0" w:rsidRPr="00437F81" w:rsidRDefault="00C907A0" w:rsidP="00C907A0">
            <w:pPr>
              <w:spacing w:after="200" w:line="276" w:lineRule="auto"/>
              <w:jc w:val="center"/>
              <w:rPr>
                <w:rFonts w:ascii="Arial" w:eastAsia="Calibri" w:hAnsi="Arial" w:cs="Arial"/>
                <w:sz w:val="21"/>
                <w:szCs w:val="21"/>
              </w:rPr>
            </w:pPr>
            <w:r w:rsidRPr="00437F81">
              <w:rPr>
                <w:rFonts w:ascii="Arial" w:eastAsia="Calibri" w:hAnsi="Arial" w:cs="Arial"/>
                <w:sz w:val="21"/>
                <w:szCs w:val="21"/>
              </w:rPr>
              <w:t>535</w:t>
            </w:r>
          </w:p>
        </w:tc>
      </w:tr>
      <w:tr w:rsidR="00C907A0" w:rsidRPr="00710BD1" w14:paraId="519902A3" w14:textId="77777777" w:rsidTr="00C907A0">
        <w:tc>
          <w:tcPr>
            <w:tcW w:w="4854" w:type="dxa"/>
            <w:tcMar>
              <w:top w:w="0" w:type="dxa"/>
              <w:left w:w="108" w:type="dxa"/>
              <w:bottom w:w="0" w:type="dxa"/>
              <w:right w:w="108" w:type="dxa"/>
            </w:tcMar>
            <w:hideMark/>
          </w:tcPr>
          <w:p w14:paraId="29816213" w14:textId="2CDBBD3E" w:rsidR="00C907A0" w:rsidRPr="00437F81" w:rsidRDefault="00C907A0" w:rsidP="00C907A0">
            <w:pPr>
              <w:spacing w:after="200" w:line="276" w:lineRule="auto"/>
              <w:rPr>
                <w:rFonts w:ascii="Arial" w:eastAsia="Calibri" w:hAnsi="Arial" w:cs="Arial"/>
                <w:sz w:val="21"/>
                <w:szCs w:val="21"/>
              </w:rPr>
            </w:pPr>
            <w:r w:rsidRPr="00437F81">
              <w:rPr>
                <w:rFonts w:ascii="Arial" w:eastAsia="Calibri" w:hAnsi="Arial" w:cs="Arial"/>
                <w:sz w:val="21"/>
                <w:szCs w:val="21"/>
              </w:rPr>
              <w:t>Value of government procurement from Aboriginal and Torres Strait</w:t>
            </w:r>
            <w:r w:rsidRPr="00710BD1">
              <w:rPr>
                <w:rFonts w:ascii="Arial" w:eastAsia="Calibri" w:hAnsi="Arial" w:cs="Arial"/>
                <w:sz w:val="21"/>
                <w:szCs w:val="21"/>
              </w:rPr>
              <w:t xml:space="preserve"> </w:t>
            </w:r>
            <w:r w:rsidRPr="00437F81">
              <w:rPr>
                <w:rFonts w:ascii="Arial" w:eastAsia="Calibri" w:hAnsi="Arial" w:cs="Arial"/>
                <w:sz w:val="21"/>
                <w:szCs w:val="21"/>
              </w:rPr>
              <w:t xml:space="preserve">Islander </w:t>
            </w:r>
            <w:r w:rsidR="002A44D7">
              <w:rPr>
                <w:rFonts w:ascii="Arial" w:eastAsia="Calibri" w:hAnsi="Arial" w:cs="Arial"/>
                <w:sz w:val="21"/>
                <w:szCs w:val="21"/>
              </w:rPr>
              <w:t xml:space="preserve">owned </w:t>
            </w:r>
            <w:r w:rsidRPr="00437F81">
              <w:rPr>
                <w:rFonts w:ascii="Arial" w:eastAsia="Calibri" w:hAnsi="Arial" w:cs="Arial"/>
                <w:sz w:val="21"/>
                <w:szCs w:val="21"/>
              </w:rPr>
              <w:t xml:space="preserve">businesses </w:t>
            </w:r>
          </w:p>
        </w:tc>
        <w:tc>
          <w:tcPr>
            <w:tcW w:w="2139" w:type="dxa"/>
          </w:tcPr>
          <w:p w14:paraId="639C4D57" w14:textId="77777777" w:rsidR="00C907A0" w:rsidRPr="00437F81" w:rsidRDefault="00C907A0" w:rsidP="00C907A0">
            <w:pPr>
              <w:spacing w:after="200" w:line="276" w:lineRule="auto"/>
              <w:jc w:val="center"/>
              <w:rPr>
                <w:rFonts w:ascii="Arial" w:eastAsia="Calibri" w:hAnsi="Arial" w:cs="Arial"/>
                <w:sz w:val="21"/>
                <w:szCs w:val="21"/>
              </w:rPr>
            </w:pPr>
            <w:r>
              <w:rPr>
                <w:rFonts w:ascii="Arial" w:eastAsia="Calibri" w:hAnsi="Arial" w:cs="Arial"/>
                <w:sz w:val="21"/>
                <w:szCs w:val="21"/>
              </w:rPr>
              <w:t>2</w:t>
            </w:r>
          </w:p>
        </w:tc>
        <w:tc>
          <w:tcPr>
            <w:tcW w:w="2302" w:type="dxa"/>
            <w:tcMar>
              <w:top w:w="0" w:type="dxa"/>
              <w:left w:w="108" w:type="dxa"/>
              <w:bottom w:w="0" w:type="dxa"/>
              <w:right w:w="108" w:type="dxa"/>
            </w:tcMar>
            <w:hideMark/>
          </w:tcPr>
          <w:p w14:paraId="7E4FE5A8" w14:textId="77777777" w:rsidR="00C907A0" w:rsidRPr="00437F81" w:rsidRDefault="00C907A0" w:rsidP="00C907A0">
            <w:pPr>
              <w:spacing w:after="200" w:line="276" w:lineRule="auto"/>
              <w:jc w:val="center"/>
              <w:rPr>
                <w:rFonts w:ascii="Arial" w:eastAsia="Calibri" w:hAnsi="Arial" w:cs="Arial"/>
                <w:sz w:val="21"/>
                <w:szCs w:val="21"/>
              </w:rPr>
            </w:pPr>
            <w:r w:rsidRPr="00437F81">
              <w:rPr>
                <w:rFonts w:ascii="Arial" w:eastAsia="Calibri" w:hAnsi="Arial" w:cs="Arial"/>
                <w:sz w:val="21"/>
                <w:szCs w:val="21"/>
              </w:rPr>
              <w:t>$350M</w:t>
            </w:r>
          </w:p>
        </w:tc>
        <w:tc>
          <w:tcPr>
            <w:tcW w:w="2329" w:type="dxa"/>
          </w:tcPr>
          <w:p w14:paraId="5A2A632D" w14:textId="77777777" w:rsidR="00C907A0" w:rsidRPr="00710BD1" w:rsidRDefault="00C907A0" w:rsidP="00C907A0">
            <w:pPr>
              <w:spacing w:after="200" w:line="276" w:lineRule="auto"/>
              <w:jc w:val="center"/>
              <w:rPr>
                <w:rFonts w:ascii="Arial" w:eastAsia="Calibri" w:hAnsi="Arial" w:cs="Arial"/>
                <w:sz w:val="21"/>
                <w:szCs w:val="21"/>
              </w:rPr>
            </w:pPr>
            <w:r w:rsidRPr="00710BD1">
              <w:rPr>
                <w:rFonts w:ascii="Arial" w:eastAsia="Calibri" w:hAnsi="Arial" w:cs="Arial"/>
                <w:sz w:val="21"/>
                <w:szCs w:val="21"/>
              </w:rPr>
              <w:t>$338M</w:t>
            </w:r>
            <w:r>
              <w:rPr>
                <w:rFonts w:ascii="Arial" w:eastAsia="Calibri" w:hAnsi="Arial" w:cs="Arial"/>
                <w:sz w:val="21"/>
                <w:szCs w:val="21"/>
              </w:rPr>
              <w:t>*</w:t>
            </w:r>
          </w:p>
        </w:tc>
        <w:tc>
          <w:tcPr>
            <w:tcW w:w="2324" w:type="dxa"/>
            <w:tcMar>
              <w:top w:w="0" w:type="dxa"/>
              <w:left w:w="108" w:type="dxa"/>
              <w:bottom w:w="0" w:type="dxa"/>
              <w:right w:w="108" w:type="dxa"/>
            </w:tcMar>
            <w:hideMark/>
          </w:tcPr>
          <w:p w14:paraId="272BAD03" w14:textId="77777777" w:rsidR="00C907A0" w:rsidRPr="00437F81" w:rsidRDefault="00C907A0" w:rsidP="00C907A0">
            <w:pPr>
              <w:spacing w:after="200" w:line="276" w:lineRule="auto"/>
              <w:jc w:val="center"/>
              <w:rPr>
                <w:rFonts w:ascii="Arial" w:eastAsia="Calibri" w:hAnsi="Arial" w:cs="Arial"/>
                <w:sz w:val="21"/>
                <w:szCs w:val="21"/>
              </w:rPr>
            </w:pPr>
            <w:r w:rsidRPr="00437F81">
              <w:rPr>
                <w:rFonts w:ascii="Arial" w:eastAsia="Calibri" w:hAnsi="Arial" w:cs="Arial"/>
                <w:sz w:val="21"/>
                <w:szCs w:val="21"/>
              </w:rPr>
              <w:t>$440M</w:t>
            </w:r>
          </w:p>
        </w:tc>
      </w:tr>
    </w:tbl>
    <w:p w14:paraId="7D2AEE45" w14:textId="77777777" w:rsidR="00710BD1" w:rsidRPr="00710BD1" w:rsidRDefault="00710BD1" w:rsidP="00710BD1">
      <w:pPr>
        <w:spacing w:before="120" w:after="0" w:line="240" w:lineRule="auto"/>
        <w:rPr>
          <w:rFonts w:ascii="Arial" w:eastAsia="Times New Roman" w:hAnsi="Arial" w:cs="Arial"/>
          <w:sz w:val="18"/>
          <w:szCs w:val="18"/>
          <w:lang w:eastAsia="en-AU"/>
        </w:rPr>
      </w:pPr>
      <w:r w:rsidRPr="00710BD1">
        <w:rPr>
          <w:rFonts w:ascii="Arial" w:eastAsia="Times New Roman" w:hAnsi="Arial" w:cs="Arial"/>
          <w:sz w:val="18"/>
          <w:szCs w:val="18"/>
          <w:lang w:eastAsia="en-AU"/>
        </w:rPr>
        <w:t>Notes:</w:t>
      </w:r>
    </w:p>
    <w:p w14:paraId="7303D9C7" w14:textId="304BB3F1" w:rsidR="00710BD1" w:rsidRPr="00272ABC" w:rsidRDefault="00710BD1" w:rsidP="00272ABC">
      <w:pPr>
        <w:pStyle w:val="ListParagraph"/>
        <w:numPr>
          <w:ilvl w:val="0"/>
          <w:numId w:val="1"/>
        </w:numPr>
        <w:rPr>
          <w:rFonts w:ascii="Arial" w:eastAsia="Calibri" w:hAnsi="Arial" w:cs="Times New Roman"/>
          <w:sz w:val="18"/>
          <w:szCs w:val="18"/>
        </w:rPr>
      </w:pPr>
      <w:r w:rsidRPr="00272ABC">
        <w:rPr>
          <w:rFonts w:ascii="Arial" w:eastAsia="Calibri" w:hAnsi="Arial" w:cs="Times New Roman"/>
          <w:sz w:val="18"/>
          <w:szCs w:val="18"/>
        </w:rPr>
        <w:t>This is a whole-of-government measure of effectiveness for the Queensland Government’s progress in growing the number of Aboriginal and Torres Strait Islander businesses that have secured government procurement. The department contributes to this measure by connecting agency and industry business supply and employment opportunities, and by linking investments that support Aboriginal and Torres Strait Islander businesses to build capability/capacity to win procurement contracts.</w:t>
      </w:r>
      <w:bookmarkStart w:id="1" w:name="_Hlk120624150"/>
      <w:r w:rsidR="00272ABC" w:rsidRPr="00272ABC">
        <w:rPr>
          <w:rFonts w:ascii="Arial" w:eastAsia="Calibri" w:hAnsi="Arial" w:cs="Times New Roman"/>
          <w:sz w:val="18"/>
          <w:szCs w:val="18"/>
        </w:rPr>
        <w:t xml:space="preserve"> The</w:t>
      </w:r>
      <w:r w:rsidR="002A44D7">
        <w:rPr>
          <w:rFonts w:ascii="Arial" w:eastAsia="Calibri" w:hAnsi="Arial" w:cs="Times New Roman"/>
          <w:sz w:val="18"/>
          <w:szCs w:val="18"/>
        </w:rPr>
        <w:t xml:space="preserve"> 2021-2022</w:t>
      </w:r>
      <w:r w:rsidR="00272ABC" w:rsidRPr="00272ABC">
        <w:rPr>
          <w:rFonts w:ascii="Arial" w:eastAsia="Calibri" w:hAnsi="Arial" w:cs="Times New Roman"/>
          <w:sz w:val="18"/>
          <w:szCs w:val="18"/>
        </w:rPr>
        <w:t xml:space="preserve"> final actual </w:t>
      </w:r>
      <w:r w:rsidR="002A44D7">
        <w:rPr>
          <w:rFonts w:ascii="Arial" w:eastAsia="Calibri" w:hAnsi="Arial" w:cs="Times New Roman"/>
          <w:sz w:val="18"/>
          <w:szCs w:val="18"/>
        </w:rPr>
        <w:t xml:space="preserve">figure </w:t>
      </w:r>
      <w:r w:rsidR="00272ABC" w:rsidRPr="00272ABC">
        <w:rPr>
          <w:rFonts w:ascii="Arial" w:eastAsia="Calibri" w:hAnsi="Arial" w:cs="Times New Roman"/>
          <w:sz w:val="18"/>
          <w:szCs w:val="18"/>
        </w:rPr>
        <w:t xml:space="preserve">is </w:t>
      </w:r>
      <w:r w:rsidR="002A44D7">
        <w:rPr>
          <w:rFonts w:ascii="Arial" w:eastAsia="Calibri" w:hAnsi="Arial" w:cs="Times New Roman"/>
          <w:sz w:val="18"/>
          <w:szCs w:val="18"/>
        </w:rPr>
        <w:t>greater</w:t>
      </w:r>
      <w:r w:rsidR="00272ABC" w:rsidRPr="00272ABC">
        <w:rPr>
          <w:rFonts w:ascii="Arial" w:eastAsia="Calibri" w:hAnsi="Arial" w:cs="Times New Roman"/>
          <w:sz w:val="18"/>
          <w:szCs w:val="18"/>
        </w:rPr>
        <w:t xml:space="preserve"> than the target due to Queensland Government agencies promoting and </w:t>
      </w:r>
      <w:r w:rsidR="00272ABC" w:rsidRPr="002A44D7">
        <w:rPr>
          <w:rFonts w:ascii="Arial" w:eastAsia="Calibri" w:hAnsi="Arial" w:cs="Times New Roman"/>
          <w:sz w:val="18"/>
          <w:szCs w:val="18"/>
        </w:rPr>
        <w:t xml:space="preserve">enabling </w:t>
      </w:r>
      <w:r w:rsidR="00973E90" w:rsidRPr="002A44D7">
        <w:rPr>
          <w:rFonts w:ascii="Arial" w:eastAsia="Calibri" w:hAnsi="Arial" w:cs="Times New Roman"/>
          <w:sz w:val="18"/>
          <w:szCs w:val="18"/>
        </w:rPr>
        <w:t xml:space="preserve">a </w:t>
      </w:r>
      <w:r w:rsidR="00272ABC" w:rsidRPr="002A44D7">
        <w:rPr>
          <w:rFonts w:ascii="Arial" w:eastAsia="Calibri" w:hAnsi="Arial" w:cs="Times New Roman"/>
          <w:sz w:val="18"/>
          <w:szCs w:val="18"/>
        </w:rPr>
        <w:t>positive</w:t>
      </w:r>
      <w:r w:rsidR="00272ABC" w:rsidRPr="00272ABC">
        <w:rPr>
          <w:rFonts w:ascii="Arial" w:eastAsia="Calibri" w:hAnsi="Arial" w:cs="Times New Roman"/>
          <w:sz w:val="18"/>
          <w:szCs w:val="18"/>
        </w:rPr>
        <w:t xml:space="preserve"> internal environment to focus on Aboriginal and Torres Strait Islander procurement, increasing their use of innovative and targeted sourcing strategies and improved cultural competencies of government buyers.</w:t>
      </w:r>
    </w:p>
    <w:bookmarkEnd w:id="1"/>
    <w:p w14:paraId="7D315E83" w14:textId="102B1BBB" w:rsidR="00710BD1" w:rsidRPr="00272ABC" w:rsidRDefault="00710BD1" w:rsidP="00272ABC">
      <w:pPr>
        <w:pStyle w:val="ListParagraph"/>
        <w:numPr>
          <w:ilvl w:val="0"/>
          <w:numId w:val="1"/>
        </w:numPr>
        <w:rPr>
          <w:rFonts w:ascii="Arial" w:eastAsia="Calibri" w:hAnsi="Arial" w:cs="Times New Roman"/>
          <w:sz w:val="18"/>
          <w:szCs w:val="18"/>
        </w:rPr>
      </w:pPr>
      <w:r w:rsidRPr="00272ABC">
        <w:rPr>
          <w:rFonts w:ascii="Arial" w:eastAsia="Calibri" w:hAnsi="Arial" w:cs="Times New Roman"/>
          <w:sz w:val="18"/>
          <w:szCs w:val="18"/>
        </w:rPr>
        <w:t>This is a whole-of-government service standard which measures the Queensland Government’s progress in increasing the total value of government procurement from Aboriginal and Torres Strait Islander businesses. The department connects agency and industry business supply and employment opportunities, and links investments that support Aboriginal and Torres Strait Islander businesses to build capability/capacity to win procurement contracts.</w:t>
      </w:r>
      <w:r w:rsidR="00272ABC" w:rsidRPr="00272ABC">
        <w:t xml:space="preserve"> </w:t>
      </w:r>
      <w:r w:rsidR="00272ABC" w:rsidRPr="00272ABC">
        <w:rPr>
          <w:rFonts w:ascii="Arial" w:eastAsia="Calibri" w:hAnsi="Arial" w:cs="Times New Roman"/>
          <w:sz w:val="18"/>
          <w:szCs w:val="18"/>
        </w:rPr>
        <w:t>The</w:t>
      </w:r>
      <w:r w:rsidR="002A44D7">
        <w:rPr>
          <w:rFonts w:ascii="Arial" w:eastAsia="Calibri" w:hAnsi="Arial" w:cs="Times New Roman"/>
          <w:sz w:val="18"/>
          <w:szCs w:val="18"/>
        </w:rPr>
        <w:t xml:space="preserve"> 2021-2022</w:t>
      </w:r>
      <w:r w:rsidR="00272ABC" w:rsidRPr="00272ABC">
        <w:rPr>
          <w:rFonts w:ascii="Arial" w:eastAsia="Calibri" w:hAnsi="Arial" w:cs="Times New Roman"/>
          <w:sz w:val="18"/>
          <w:szCs w:val="18"/>
        </w:rPr>
        <w:t xml:space="preserve"> final actual</w:t>
      </w:r>
      <w:r w:rsidR="002A44D7">
        <w:rPr>
          <w:rFonts w:ascii="Arial" w:eastAsia="Calibri" w:hAnsi="Arial" w:cs="Times New Roman"/>
          <w:sz w:val="18"/>
          <w:szCs w:val="18"/>
        </w:rPr>
        <w:t xml:space="preserve"> figure</w:t>
      </w:r>
      <w:r w:rsidR="00272ABC" w:rsidRPr="00272ABC">
        <w:rPr>
          <w:rFonts w:ascii="Arial" w:eastAsia="Calibri" w:hAnsi="Arial" w:cs="Times New Roman"/>
          <w:sz w:val="18"/>
          <w:szCs w:val="18"/>
        </w:rPr>
        <w:t xml:space="preserve"> is </w:t>
      </w:r>
      <w:r w:rsidR="002A44D7">
        <w:rPr>
          <w:rFonts w:ascii="Arial" w:eastAsia="Calibri" w:hAnsi="Arial" w:cs="Times New Roman"/>
          <w:sz w:val="18"/>
          <w:szCs w:val="18"/>
        </w:rPr>
        <w:t>greater</w:t>
      </w:r>
      <w:r w:rsidR="00272ABC" w:rsidRPr="00272ABC">
        <w:rPr>
          <w:rFonts w:ascii="Arial" w:eastAsia="Calibri" w:hAnsi="Arial" w:cs="Times New Roman"/>
          <w:sz w:val="18"/>
          <w:szCs w:val="18"/>
        </w:rPr>
        <w:t xml:space="preserve"> than the target due to Queensland Government agencies </w:t>
      </w:r>
      <w:r w:rsidR="00272ABC" w:rsidRPr="002A44D7">
        <w:rPr>
          <w:rFonts w:ascii="Arial" w:eastAsia="Calibri" w:hAnsi="Arial" w:cs="Times New Roman"/>
          <w:sz w:val="18"/>
          <w:szCs w:val="18"/>
        </w:rPr>
        <w:t xml:space="preserve">promoting and enabling </w:t>
      </w:r>
      <w:r w:rsidR="00973E90" w:rsidRPr="002A44D7">
        <w:rPr>
          <w:rFonts w:ascii="Arial" w:eastAsia="Calibri" w:hAnsi="Arial" w:cs="Times New Roman"/>
          <w:sz w:val="18"/>
          <w:szCs w:val="18"/>
        </w:rPr>
        <w:t xml:space="preserve">a </w:t>
      </w:r>
      <w:r w:rsidR="00272ABC" w:rsidRPr="002A44D7">
        <w:rPr>
          <w:rFonts w:ascii="Arial" w:eastAsia="Calibri" w:hAnsi="Arial" w:cs="Times New Roman"/>
          <w:sz w:val="18"/>
          <w:szCs w:val="18"/>
        </w:rPr>
        <w:t>positive internal environment</w:t>
      </w:r>
      <w:r w:rsidR="00272ABC" w:rsidRPr="00272ABC">
        <w:rPr>
          <w:rFonts w:ascii="Arial" w:eastAsia="Calibri" w:hAnsi="Arial" w:cs="Times New Roman"/>
          <w:sz w:val="18"/>
          <w:szCs w:val="18"/>
        </w:rPr>
        <w:t xml:space="preserve"> to focus on Aboriginal and Torres Strait Islander procurement, increasing their use of innovative and targeted sourcing strategies and improved cultural competencies of government buyers.</w:t>
      </w:r>
    </w:p>
    <w:sectPr w:rsidR="00710BD1" w:rsidRPr="00272ABC" w:rsidSect="00437F81">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CEFE" w14:textId="77777777" w:rsidR="00442050" w:rsidRDefault="00442050" w:rsidP="00442050">
      <w:pPr>
        <w:spacing w:after="0" w:line="240" w:lineRule="auto"/>
      </w:pPr>
      <w:r>
        <w:separator/>
      </w:r>
    </w:p>
  </w:endnote>
  <w:endnote w:type="continuationSeparator" w:id="0">
    <w:p w14:paraId="51CCE44C" w14:textId="77777777" w:rsidR="00442050" w:rsidRDefault="00442050" w:rsidP="0044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E214" w14:textId="7DE71047" w:rsidR="00442050" w:rsidRDefault="00442050">
    <w:pPr>
      <w:pStyle w:val="Footer"/>
    </w:pPr>
    <w:r w:rsidRPr="00442050">
      <w:rPr>
        <w:rFonts w:ascii="Arial" w:eastAsia="Times New Roman" w:hAnsi="Arial" w:cs="Arial"/>
        <w:sz w:val="21"/>
        <w:szCs w:val="21"/>
        <w:lang w:val="en-US" w:eastAsia="en-AU"/>
      </w:rPr>
      <w:t>Department of Seniors, Disability Services and Aboriginal and Torres Strait Islander 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4091" w14:textId="77777777" w:rsidR="00442050" w:rsidRDefault="00442050" w:rsidP="00442050">
      <w:pPr>
        <w:spacing w:after="0" w:line="240" w:lineRule="auto"/>
      </w:pPr>
      <w:r>
        <w:separator/>
      </w:r>
    </w:p>
  </w:footnote>
  <w:footnote w:type="continuationSeparator" w:id="0">
    <w:p w14:paraId="0BC8F92B" w14:textId="77777777" w:rsidR="00442050" w:rsidRDefault="00442050" w:rsidP="00442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3499" w14:textId="195CB669" w:rsidR="00442050" w:rsidRDefault="00442050">
    <w:pPr>
      <w:pStyle w:val="Header"/>
    </w:pPr>
    <w:r w:rsidRPr="00442050">
      <w:rPr>
        <w:rFonts w:ascii="Arial" w:eastAsia="Times New Roman" w:hAnsi="Arial" w:cs="Arial"/>
        <w:noProof/>
        <w:sz w:val="21"/>
        <w:szCs w:val="21"/>
        <w:lang w:val="en-US" w:eastAsia="en-AU"/>
      </w:rPr>
      <w:drawing>
        <wp:anchor distT="0" distB="0" distL="114300" distR="114300" simplePos="0" relativeHeight="251659264" behindDoc="1" locked="0" layoutInCell="1" allowOverlap="1" wp14:anchorId="14CE8AED" wp14:editId="141E5027">
          <wp:simplePos x="0" y="0"/>
          <wp:positionH relativeFrom="page">
            <wp:align>right</wp:align>
          </wp:positionH>
          <wp:positionV relativeFrom="paragraph">
            <wp:posOffset>-429260</wp:posOffset>
          </wp:positionV>
          <wp:extent cx="10692000" cy="520631"/>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2000" cy="5206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249F"/>
    <w:multiLevelType w:val="hybridMultilevel"/>
    <w:tmpl w:val="A6709AE6"/>
    <w:lvl w:ilvl="0" w:tplc="0A328D1E">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508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81"/>
    <w:rsid w:val="00053E68"/>
    <w:rsid w:val="001206D0"/>
    <w:rsid w:val="001A798C"/>
    <w:rsid w:val="00237DBC"/>
    <w:rsid w:val="00272ABC"/>
    <w:rsid w:val="002A44D7"/>
    <w:rsid w:val="002B65A9"/>
    <w:rsid w:val="002D371F"/>
    <w:rsid w:val="00437F81"/>
    <w:rsid w:val="00442050"/>
    <w:rsid w:val="00444E77"/>
    <w:rsid w:val="004A00FB"/>
    <w:rsid w:val="005C01A6"/>
    <w:rsid w:val="00710BD1"/>
    <w:rsid w:val="007359E0"/>
    <w:rsid w:val="00841447"/>
    <w:rsid w:val="008B46FE"/>
    <w:rsid w:val="00973E90"/>
    <w:rsid w:val="00A71BD8"/>
    <w:rsid w:val="00A82FA4"/>
    <w:rsid w:val="00AD57BC"/>
    <w:rsid w:val="00C90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4D64"/>
  <w15:chartTrackingRefBased/>
  <w15:docId w15:val="{E0CB5BF7-A180-4141-80E9-CDE8789F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6D0"/>
    <w:pPr>
      <w:ind w:left="720"/>
      <w:contextualSpacing/>
    </w:pPr>
  </w:style>
  <w:style w:type="paragraph" w:styleId="Header">
    <w:name w:val="header"/>
    <w:basedOn w:val="Normal"/>
    <w:link w:val="HeaderChar"/>
    <w:uiPriority w:val="99"/>
    <w:unhideWhenUsed/>
    <w:rsid w:val="00442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050"/>
  </w:style>
  <w:style w:type="paragraph" w:styleId="Footer">
    <w:name w:val="footer"/>
    <w:basedOn w:val="Normal"/>
    <w:link w:val="FooterChar"/>
    <w:uiPriority w:val="99"/>
    <w:unhideWhenUsed/>
    <w:rsid w:val="00442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050"/>
  </w:style>
  <w:style w:type="table" w:customStyle="1" w:styleId="Style1">
    <w:name w:val="Style1"/>
    <w:basedOn w:val="TableNormal"/>
    <w:uiPriority w:val="99"/>
    <w:rsid w:val="00444E77"/>
    <w:pPr>
      <w:spacing w:after="0" w:line="240" w:lineRule="auto"/>
    </w:pPr>
    <w:tblPr/>
  </w:style>
  <w:style w:type="table" w:styleId="TableGrid">
    <w:name w:val="Table Grid"/>
    <w:basedOn w:val="TableNormal"/>
    <w:uiPriority w:val="39"/>
    <w:rsid w:val="0044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Our Performance—Aboriginal and Torres Strait Islander Partnerships, Economic Participation updated data</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Performance—Aboriginal and Torres Strait Islander Partnerships, Economic Participation updated data</dc:title>
  <dc:subject>Annual report</dc:subject>
  <dc:creator>Queensland Government</dc:creator>
  <cp:keywords>DSDSATSIP; annual; report; updated; data</cp:keywords>
  <dc:description/>
  <cp:lastModifiedBy>Tanya R Campbell</cp:lastModifiedBy>
  <cp:revision>2</cp:revision>
  <dcterms:created xsi:type="dcterms:W3CDTF">2023-04-11T04:12:00Z</dcterms:created>
  <dcterms:modified xsi:type="dcterms:W3CDTF">2023-04-11T04:12:00Z</dcterms:modified>
</cp:coreProperties>
</file>