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0DFB1" w14:textId="00EAEB97" w:rsidR="00427E54" w:rsidRPr="002466FC" w:rsidRDefault="00392640" w:rsidP="002466FC">
      <w:pPr>
        <w:pStyle w:val="Heading1"/>
      </w:pPr>
      <w:bookmarkStart w:id="0" w:name="_Toc352236363"/>
      <w:bookmarkStart w:id="1" w:name="_Toc43444760"/>
      <w:bookmarkStart w:id="2" w:name="_Toc78287361"/>
      <w:bookmarkStart w:id="3" w:name="_Toc78355768"/>
      <w:bookmarkStart w:id="4" w:name="_Toc81984368"/>
      <w:r>
        <w:t xml:space="preserve">04 </w:t>
      </w:r>
      <w:r w:rsidR="00856DAC" w:rsidRPr="002466FC">
        <w:t xml:space="preserve">Aboriginal and Torres Strait Islander </w:t>
      </w:r>
      <w:bookmarkEnd w:id="1"/>
      <w:r w:rsidR="00886849" w:rsidRPr="002466FC">
        <w:t>Partnerships</w:t>
      </w:r>
      <w:bookmarkEnd w:id="2"/>
      <w:bookmarkEnd w:id="3"/>
      <w:bookmarkEnd w:id="4"/>
    </w:p>
    <w:p w14:paraId="28620774" w14:textId="0C4AE3CD" w:rsidR="00951156" w:rsidRPr="00E4449B" w:rsidRDefault="001A6382" w:rsidP="00392640">
      <w:pPr>
        <w:pStyle w:val="Heading2"/>
        <w:rPr>
          <w:rFonts w:ascii="Calibri" w:hAnsi="Calibri" w:cs="Times New Roman"/>
          <w:b/>
          <w:color w:val="FF0000"/>
          <w:spacing w:val="-1"/>
          <w:sz w:val="18"/>
          <w:szCs w:val="18"/>
          <w:lang w:val="en-US"/>
          <w14:textFill>
            <w14:solidFill>
              <w14:srgbClr w14:val="FF0000">
                <w14:lumMod w14:val="65000"/>
                <w14:lumOff w14:val="35000"/>
              </w14:srgbClr>
            </w14:solidFill>
          </w14:textFill>
        </w:rPr>
      </w:pPr>
      <w:bookmarkStart w:id="5" w:name="_Toc78287362"/>
      <w:bookmarkStart w:id="6" w:name="_Toc78355769"/>
      <w:bookmarkStart w:id="7" w:name="_Toc81984369"/>
      <w:r w:rsidRPr="00E4449B">
        <w:t>Snapshot of achievements</w:t>
      </w:r>
      <w:bookmarkEnd w:id="5"/>
      <w:bookmarkEnd w:id="6"/>
      <w:bookmarkEnd w:id="7"/>
      <w:r w:rsidRPr="00E4449B">
        <w:t xml:space="preserve"> </w:t>
      </w:r>
    </w:p>
    <w:p w14:paraId="33994FCA" w14:textId="7D18CD14" w:rsidR="00951156" w:rsidRPr="006A13CE" w:rsidRDefault="00391236" w:rsidP="006A13CE">
      <w:pPr>
        <w:pBdr>
          <w:bottom w:val="single" w:sz="4" w:space="1" w:color="auto"/>
        </w:pBdr>
        <w:jc w:val="center"/>
        <w:rPr>
          <w:rFonts w:eastAsia="Calibri"/>
          <w:b/>
          <w:bCs/>
          <w:lang w:val="en-US" w:eastAsia="en-US"/>
        </w:rPr>
      </w:pPr>
      <w:r w:rsidRPr="002466FC">
        <w:rPr>
          <w:rFonts w:eastAsia="Calibri"/>
          <w:b/>
          <w:bCs/>
          <w:lang w:val="en-US" w:eastAsia="en-US"/>
        </w:rPr>
        <w:t>591</w:t>
      </w:r>
      <w:r w:rsidR="00987E91" w:rsidRPr="002466FC">
        <w:rPr>
          <w:rFonts w:eastAsia="Calibri"/>
          <w:b/>
          <w:bCs/>
          <w:lang w:val="en-US" w:eastAsia="en-US"/>
        </w:rPr>
        <w:t>*</w:t>
      </w:r>
      <w:r w:rsidR="006A13CE">
        <w:rPr>
          <w:rFonts w:eastAsia="Calibri"/>
          <w:b/>
          <w:bCs/>
          <w:lang w:val="en-US" w:eastAsia="en-US"/>
        </w:rPr>
        <w:br/>
      </w:r>
      <w:r w:rsidR="00987E91" w:rsidRPr="00AF37B9">
        <w:rPr>
          <w:rFonts w:eastAsia="Calibri"/>
          <w:b/>
          <w:bCs/>
          <w:lang w:val="en-US" w:eastAsia="en-US"/>
        </w:rPr>
        <w:t>JOB</w:t>
      </w:r>
      <w:r w:rsidR="00987E91" w:rsidRPr="00AF37B9">
        <w:rPr>
          <w:rFonts w:eastAsia="Calibri"/>
          <w:b/>
          <w:bCs/>
          <w:spacing w:val="-3"/>
          <w:lang w:val="en-US" w:eastAsia="en-US"/>
        </w:rPr>
        <w:t xml:space="preserve"> </w:t>
      </w:r>
      <w:r w:rsidR="00987E91" w:rsidRPr="00AF37B9">
        <w:rPr>
          <w:rFonts w:eastAsia="Calibri"/>
          <w:b/>
          <w:bCs/>
          <w:lang w:val="en-US" w:eastAsia="en-US"/>
        </w:rPr>
        <w:t>PLACEMENTS</w:t>
      </w:r>
      <w:r w:rsidR="00987E91" w:rsidRPr="00E4449B">
        <w:rPr>
          <w:rFonts w:eastAsia="Calibri"/>
          <w:lang w:val="en-US" w:eastAsia="en-US"/>
        </w:rPr>
        <w:t xml:space="preserve"> </w:t>
      </w:r>
      <w:r w:rsidR="00987E91" w:rsidRPr="00E4449B">
        <w:rPr>
          <w:rFonts w:eastAsia="Calibri"/>
          <w:spacing w:val="-2"/>
          <w:lang w:val="en-US" w:eastAsia="en-US"/>
        </w:rPr>
        <w:t>FOR A</w:t>
      </w:r>
      <w:r w:rsidR="00987E91" w:rsidRPr="00E4449B">
        <w:rPr>
          <w:rFonts w:eastAsia="Calibri"/>
          <w:lang w:val="en-US" w:eastAsia="en-US"/>
        </w:rPr>
        <w:t>BORIGINAL</w:t>
      </w:r>
      <w:r w:rsidR="00987E91" w:rsidRPr="00E4449B">
        <w:rPr>
          <w:rFonts w:eastAsia="Calibri"/>
          <w:spacing w:val="-3"/>
          <w:lang w:val="en-US" w:eastAsia="en-US"/>
        </w:rPr>
        <w:t xml:space="preserve"> </w:t>
      </w:r>
      <w:r w:rsidR="00987E91" w:rsidRPr="00E4449B">
        <w:rPr>
          <w:rFonts w:eastAsia="Calibri"/>
          <w:lang w:val="en-US" w:eastAsia="en-US"/>
        </w:rPr>
        <w:t>AND</w:t>
      </w:r>
      <w:r w:rsidR="00987E91" w:rsidRPr="00E4449B">
        <w:rPr>
          <w:rFonts w:eastAsia="Calibri"/>
          <w:spacing w:val="-7"/>
          <w:lang w:val="en-US" w:eastAsia="en-US"/>
        </w:rPr>
        <w:t xml:space="preserve"> </w:t>
      </w:r>
      <w:r w:rsidR="00987E91" w:rsidRPr="00E4449B">
        <w:rPr>
          <w:rFonts w:eastAsia="Calibri"/>
          <w:spacing w:val="-3"/>
          <w:lang w:val="en-US" w:eastAsia="en-US"/>
        </w:rPr>
        <w:t>TORRE</w:t>
      </w:r>
      <w:r w:rsidR="00987E91" w:rsidRPr="00E4449B">
        <w:rPr>
          <w:rFonts w:eastAsia="Calibri"/>
          <w:spacing w:val="-2"/>
          <w:lang w:val="en-US" w:eastAsia="en-US"/>
        </w:rPr>
        <w:t>S</w:t>
      </w:r>
      <w:r w:rsidR="00987E91" w:rsidRPr="00E4449B">
        <w:rPr>
          <w:rFonts w:eastAsia="Calibri"/>
          <w:spacing w:val="-7"/>
          <w:lang w:val="en-US" w:eastAsia="en-US"/>
        </w:rPr>
        <w:t xml:space="preserve"> </w:t>
      </w:r>
      <w:r w:rsidR="00987E91" w:rsidRPr="00E4449B">
        <w:rPr>
          <w:rFonts w:eastAsia="Calibri"/>
          <w:lang w:val="en-US" w:eastAsia="en-US"/>
        </w:rPr>
        <w:t>ST</w:t>
      </w:r>
      <w:r w:rsidR="00987E91" w:rsidRPr="00E4449B">
        <w:rPr>
          <w:rFonts w:eastAsia="Calibri"/>
          <w:spacing w:val="-2"/>
          <w:lang w:val="en-US" w:eastAsia="en-US"/>
        </w:rPr>
        <w:t>RAIT</w:t>
      </w:r>
      <w:r w:rsidR="00987E91" w:rsidRPr="00E4449B">
        <w:rPr>
          <w:rFonts w:eastAsia="Calibri"/>
          <w:spacing w:val="-3"/>
          <w:lang w:val="en-US" w:eastAsia="en-US"/>
        </w:rPr>
        <w:t xml:space="preserve"> </w:t>
      </w:r>
      <w:r w:rsidR="00987E91" w:rsidRPr="00E4449B">
        <w:rPr>
          <w:rFonts w:eastAsia="Calibri"/>
          <w:lang w:val="en-US" w:eastAsia="en-US"/>
        </w:rPr>
        <w:t>ISLAND</w:t>
      </w:r>
      <w:r w:rsidR="00987E91" w:rsidRPr="00E4449B">
        <w:rPr>
          <w:rFonts w:eastAsia="Calibri"/>
          <w:spacing w:val="-2"/>
          <w:lang w:val="en-US" w:eastAsia="en-US"/>
        </w:rPr>
        <w:t>ER J</w:t>
      </w:r>
      <w:r w:rsidR="00987E91" w:rsidRPr="00E4449B">
        <w:rPr>
          <w:rFonts w:eastAsia="Calibri"/>
          <w:lang w:val="en-US" w:eastAsia="en-US"/>
        </w:rPr>
        <w:t>OB SEEKERS**</w:t>
      </w:r>
    </w:p>
    <w:p w14:paraId="03596E67" w14:textId="77777777" w:rsidR="00951156" w:rsidRPr="00E4449B" w:rsidRDefault="00951156" w:rsidP="002466FC">
      <w:pPr>
        <w:jc w:val="center"/>
        <w:rPr>
          <w:rFonts w:eastAsia="Calibri"/>
          <w:bCs/>
          <w:lang w:val="en-US" w:eastAsia="en-US"/>
        </w:rPr>
      </w:pPr>
    </w:p>
    <w:p w14:paraId="58DB7224" w14:textId="4A722727" w:rsidR="00951156" w:rsidRPr="006A13CE" w:rsidRDefault="00115D8D" w:rsidP="006A13CE">
      <w:pPr>
        <w:pBdr>
          <w:bottom w:val="single" w:sz="4" w:space="1" w:color="auto"/>
        </w:pBdr>
        <w:jc w:val="center"/>
        <w:rPr>
          <w:rFonts w:eastAsia="Calibri"/>
          <w:b/>
          <w:bCs/>
          <w:lang w:val="en-US" w:eastAsia="en-US"/>
        </w:rPr>
      </w:pPr>
      <w:r w:rsidRPr="002466FC">
        <w:rPr>
          <w:rFonts w:eastAsia="Calibri"/>
          <w:b/>
          <w:bCs/>
          <w:lang w:val="en-US" w:eastAsia="en-US"/>
        </w:rPr>
        <w:t>83.8</w:t>
      </w:r>
      <w:r w:rsidR="00951156" w:rsidRPr="002466FC">
        <w:rPr>
          <w:rFonts w:eastAsia="Calibri"/>
          <w:b/>
          <w:bCs/>
          <w:lang w:val="en-US" w:eastAsia="en-US"/>
        </w:rPr>
        <w:t>%</w:t>
      </w:r>
      <w:r w:rsidR="00987E91" w:rsidRPr="002466FC">
        <w:rPr>
          <w:rFonts w:eastAsia="Calibri"/>
          <w:b/>
          <w:bCs/>
          <w:lang w:val="en-US" w:eastAsia="en-US"/>
        </w:rPr>
        <w:t>*</w:t>
      </w:r>
      <w:r w:rsidR="006A13CE">
        <w:rPr>
          <w:rFonts w:eastAsia="Calibri"/>
          <w:b/>
          <w:bCs/>
          <w:lang w:val="en-US" w:eastAsia="en-US"/>
        </w:rPr>
        <w:br/>
      </w:r>
      <w:r w:rsidR="00987E91" w:rsidRPr="00E4449B">
        <w:rPr>
          <w:rFonts w:eastAsia="Calibri"/>
          <w:lang w:val="en-US" w:eastAsia="en-US"/>
        </w:rPr>
        <w:t>OF</w:t>
      </w:r>
      <w:r w:rsidR="00987E91" w:rsidRPr="00E4449B">
        <w:rPr>
          <w:rFonts w:eastAsia="Calibri"/>
          <w:spacing w:val="5"/>
          <w:lang w:val="en-US" w:eastAsia="en-US"/>
        </w:rPr>
        <w:t xml:space="preserve"> </w:t>
      </w:r>
      <w:r w:rsidR="00987E91" w:rsidRPr="00E4449B">
        <w:rPr>
          <w:rFonts w:eastAsia="Calibri"/>
          <w:spacing w:val="-2"/>
          <w:lang w:val="en-US" w:eastAsia="en-US"/>
        </w:rPr>
        <w:t>A</w:t>
      </w:r>
      <w:r w:rsidR="00987E91" w:rsidRPr="00E4449B">
        <w:rPr>
          <w:rFonts w:eastAsia="Calibri"/>
          <w:lang w:val="en-US" w:eastAsia="en-US"/>
        </w:rPr>
        <w:t>BORIGINAL</w:t>
      </w:r>
      <w:r w:rsidR="00987E91" w:rsidRPr="00E4449B">
        <w:rPr>
          <w:rFonts w:eastAsia="Calibri"/>
          <w:spacing w:val="5"/>
          <w:lang w:val="en-US" w:eastAsia="en-US"/>
        </w:rPr>
        <w:t xml:space="preserve"> </w:t>
      </w:r>
      <w:r w:rsidR="00987E91" w:rsidRPr="00E4449B">
        <w:rPr>
          <w:rFonts w:eastAsia="Calibri"/>
          <w:lang w:val="en-US" w:eastAsia="en-US"/>
        </w:rPr>
        <w:t xml:space="preserve">AND </w:t>
      </w:r>
      <w:r w:rsidR="00987E91" w:rsidRPr="00E4449B">
        <w:rPr>
          <w:rFonts w:eastAsia="Calibri"/>
          <w:spacing w:val="-3"/>
          <w:lang w:val="en-US" w:eastAsia="en-US"/>
        </w:rPr>
        <w:t>TORRE</w:t>
      </w:r>
      <w:r w:rsidR="00987E91" w:rsidRPr="00E4449B">
        <w:rPr>
          <w:rFonts w:eastAsia="Calibri"/>
          <w:spacing w:val="-2"/>
          <w:lang w:val="en-US" w:eastAsia="en-US"/>
        </w:rPr>
        <w:t>S</w:t>
      </w:r>
      <w:r w:rsidR="00987E91" w:rsidRPr="00E4449B">
        <w:rPr>
          <w:rFonts w:eastAsia="Calibri"/>
          <w:spacing w:val="1"/>
          <w:lang w:val="en-US" w:eastAsia="en-US"/>
        </w:rPr>
        <w:t xml:space="preserve"> </w:t>
      </w:r>
      <w:r w:rsidR="00987E91" w:rsidRPr="00E4449B">
        <w:rPr>
          <w:rFonts w:eastAsia="Calibri"/>
          <w:lang w:val="en-US" w:eastAsia="en-US"/>
        </w:rPr>
        <w:t>ST</w:t>
      </w:r>
      <w:r w:rsidR="00987E91" w:rsidRPr="00E4449B">
        <w:rPr>
          <w:rFonts w:eastAsia="Calibri"/>
          <w:spacing w:val="-2"/>
          <w:lang w:val="en-US" w:eastAsia="en-US"/>
        </w:rPr>
        <w:t>RAIT</w:t>
      </w:r>
      <w:r w:rsidR="00987E91" w:rsidRPr="00E4449B">
        <w:rPr>
          <w:rFonts w:eastAsia="Calibri"/>
          <w:spacing w:val="5"/>
          <w:lang w:val="en-US" w:eastAsia="en-US"/>
        </w:rPr>
        <w:t xml:space="preserve"> </w:t>
      </w:r>
      <w:r w:rsidR="00987E91" w:rsidRPr="00E4449B">
        <w:rPr>
          <w:rFonts w:eastAsia="Calibri"/>
          <w:lang w:val="en-US" w:eastAsia="en-US"/>
        </w:rPr>
        <w:t>ISLAND</w:t>
      </w:r>
      <w:r w:rsidR="00987E91" w:rsidRPr="00E4449B">
        <w:rPr>
          <w:rFonts w:eastAsia="Calibri"/>
          <w:spacing w:val="-2"/>
          <w:lang w:val="en-US" w:eastAsia="en-US"/>
        </w:rPr>
        <w:t>ER QUEENSLANDERS</w:t>
      </w:r>
      <w:r w:rsidR="00987E91" w:rsidRPr="00E4449B">
        <w:rPr>
          <w:rFonts w:eastAsia="Calibri"/>
          <w:spacing w:val="5"/>
          <w:lang w:val="en-US" w:eastAsia="en-US"/>
        </w:rPr>
        <w:t xml:space="preserve"> </w:t>
      </w:r>
      <w:r w:rsidR="00987E91" w:rsidRPr="00E4449B">
        <w:rPr>
          <w:rFonts w:eastAsia="Calibri"/>
          <w:lang w:val="en-US" w:eastAsia="en-US"/>
        </w:rPr>
        <w:t>BEING</w:t>
      </w:r>
      <w:r w:rsidR="00987E91" w:rsidRPr="00E4449B">
        <w:rPr>
          <w:rFonts w:eastAsia="Calibri"/>
          <w:spacing w:val="8"/>
          <w:lang w:val="en-US" w:eastAsia="en-US"/>
        </w:rPr>
        <w:t xml:space="preserve"> </w:t>
      </w:r>
      <w:r w:rsidR="00987E91" w:rsidRPr="00AF37B9">
        <w:rPr>
          <w:rFonts w:eastAsia="Calibri"/>
          <w:b/>
          <w:bCs/>
          <w:spacing w:val="-2"/>
          <w:lang w:val="en-US" w:eastAsia="en-US"/>
        </w:rPr>
        <w:t>SUCCESSFULLY</w:t>
      </w:r>
      <w:r w:rsidR="00987E91" w:rsidRPr="00AF37B9">
        <w:rPr>
          <w:rFonts w:eastAsia="Calibri"/>
          <w:b/>
          <w:bCs/>
          <w:spacing w:val="4"/>
          <w:lang w:val="en-US" w:eastAsia="en-US"/>
        </w:rPr>
        <w:t xml:space="preserve"> </w:t>
      </w:r>
      <w:r w:rsidR="00987E91" w:rsidRPr="00AF37B9">
        <w:rPr>
          <w:rFonts w:eastAsia="Calibri"/>
          <w:b/>
          <w:bCs/>
          <w:lang w:val="en-US" w:eastAsia="en-US"/>
        </w:rPr>
        <w:t>EMPLOYED</w:t>
      </w:r>
      <w:r w:rsidR="00987E91" w:rsidRPr="00E4449B">
        <w:rPr>
          <w:rFonts w:eastAsia="Calibri"/>
          <w:lang w:val="en-US" w:eastAsia="en-US"/>
        </w:rPr>
        <w:t xml:space="preserve"> THREE</w:t>
      </w:r>
      <w:r w:rsidR="00987E91" w:rsidRPr="00E4449B">
        <w:rPr>
          <w:rFonts w:eastAsia="Calibri"/>
          <w:spacing w:val="-12"/>
          <w:lang w:val="en-US" w:eastAsia="en-US"/>
        </w:rPr>
        <w:t xml:space="preserve"> </w:t>
      </w:r>
      <w:r w:rsidR="00987E91" w:rsidRPr="00E4449B">
        <w:rPr>
          <w:rFonts w:eastAsia="Calibri"/>
          <w:lang w:val="en-US" w:eastAsia="en-US"/>
        </w:rPr>
        <w:t>MONTHS</w:t>
      </w:r>
      <w:r w:rsidR="00987E91" w:rsidRPr="00E4449B">
        <w:rPr>
          <w:rFonts w:eastAsia="Calibri"/>
          <w:spacing w:val="-11"/>
          <w:lang w:val="en-US" w:eastAsia="en-US"/>
        </w:rPr>
        <w:t xml:space="preserve"> </w:t>
      </w:r>
      <w:r w:rsidR="00987E91" w:rsidRPr="00E4449B">
        <w:rPr>
          <w:rFonts w:eastAsia="Calibri"/>
          <w:lang w:val="en-US" w:eastAsia="en-US"/>
        </w:rPr>
        <w:t>AFTER</w:t>
      </w:r>
      <w:r w:rsidR="00987E91" w:rsidRPr="00E4449B">
        <w:rPr>
          <w:rFonts w:eastAsia="Calibri"/>
          <w:spacing w:val="-11"/>
          <w:lang w:val="en-US" w:eastAsia="en-US"/>
        </w:rPr>
        <w:t xml:space="preserve"> </w:t>
      </w:r>
      <w:r w:rsidR="00987E91" w:rsidRPr="00E4449B">
        <w:rPr>
          <w:rFonts w:eastAsia="Calibri"/>
          <w:lang w:val="en-US" w:eastAsia="en-US"/>
        </w:rPr>
        <w:t>PLAC</w:t>
      </w:r>
      <w:r w:rsidR="00987E91" w:rsidRPr="00E4449B">
        <w:rPr>
          <w:rFonts w:eastAsia="Calibri"/>
          <w:spacing w:val="-2"/>
          <w:lang w:val="en-US" w:eastAsia="en-US"/>
        </w:rPr>
        <w:t>EMENT</w:t>
      </w:r>
      <w:r w:rsidR="00987E91" w:rsidRPr="00E4449B">
        <w:rPr>
          <w:rFonts w:eastAsia="Calibri"/>
          <w:spacing w:val="-12"/>
          <w:lang w:val="en-US" w:eastAsia="en-US"/>
        </w:rPr>
        <w:t xml:space="preserve"> </w:t>
      </w:r>
      <w:r w:rsidR="00987E91" w:rsidRPr="00E4449B">
        <w:rPr>
          <w:rFonts w:eastAsia="Calibri"/>
          <w:lang w:val="en-US" w:eastAsia="en-US"/>
        </w:rPr>
        <w:t>B</w:t>
      </w:r>
      <w:r w:rsidR="00987E91" w:rsidRPr="00E4449B">
        <w:rPr>
          <w:rFonts w:eastAsia="Calibri"/>
          <w:spacing w:val="-2"/>
          <w:lang w:val="en-US" w:eastAsia="en-US"/>
        </w:rPr>
        <w:t>Y</w:t>
      </w:r>
      <w:r w:rsidR="00987E91" w:rsidRPr="00E4449B">
        <w:rPr>
          <w:rFonts w:eastAsia="Calibri"/>
          <w:spacing w:val="-12"/>
          <w:lang w:val="en-US" w:eastAsia="en-US"/>
        </w:rPr>
        <w:t xml:space="preserve"> </w:t>
      </w:r>
      <w:r w:rsidR="00987E91" w:rsidRPr="00E4449B">
        <w:rPr>
          <w:rFonts w:eastAsia="Calibri"/>
          <w:lang w:val="en-US" w:eastAsia="en-US"/>
        </w:rPr>
        <w:t>THE</w:t>
      </w:r>
      <w:r w:rsidR="00987E91" w:rsidRPr="00E4449B">
        <w:rPr>
          <w:rFonts w:eastAsia="Calibri"/>
          <w:spacing w:val="-12"/>
          <w:lang w:val="en-US" w:eastAsia="en-US"/>
        </w:rPr>
        <w:t xml:space="preserve"> </w:t>
      </w:r>
      <w:r w:rsidR="00987E91" w:rsidRPr="00E4449B">
        <w:rPr>
          <w:rFonts w:eastAsia="Calibri"/>
          <w:spacing w:val="-2"/>
          <w:lang w:val="en-US" w:eastAsia="en-US"/>
        </w:rPr>
        <w:t>Y</w:t>
      </w:r>
      <w:r w:rsidR="00987E91" w:rsidRPr="00E4449B">
        <w:rPr>
          <w:rFonts w:eastAsia="Calibri"/>
          <w:spacing w:val="-3"/>
          <w:lang w:val="en-US" w:eastAsia="en-US"/>
        </w:rPr>
        <w:t>OUTH</w:t>
      </w:r>
      <w:r w:rsidR="00987E91" w:rsidRPr="00E4449B">
        <w:rPr>
          <w:rFonts w:eastAsia="Calibri"/>
          <w:spacing w:val="-11"/>
          <w:lang w:val="en-US" w:eastAsia="en-US"/>
        </w:rPr>
        <w:t xml:space="preserve"> </w:t>
      </w:r>
      <w:r w:rsidR="00987E91" w:rsidRPr="00E4449B">
        <w:rPr>
          <w:rFonts w:eastAsia="Calibri"/>
          <w:lang w:val="en-US" w:eastAsia="en-US"/>
        </w:rPr>
        <w:t>EMPLO</w:t>
      </w:r>
      <w:r w:rsidR="00987E91" w:rsidRPr="00E4449B">
        <w:rPr>
          <w:rFonts w:eastAsia="Calibri"/>
          <w:spacing w:val="-2"/>
          <w:lang w:val="en-US" w:eastAsia="en-US"/>
        </w:rPr>
        <w:t>YMENT</w:t>
      </w:r>
      <w:r w:rsidR="00987E91" w:rsidRPr="00E4449B">
        <w:rPr>
          <w:rFonts w:eastAsia="Calibri"/>
          <w:spacing w:val="-13"/>
          <w:lang w:val="en-US" w:eastAsia="en-US"/>
        </w:rPr>
        <w:t xml:space="preserve"> </w:t>
      </w:r>
      <w:r w:rsidR="00987E91" w:rsidRPr="00E4449B">
        <w:rPr>
          <w:rFonts w:eastAsia="Calibri"/>
          <w:spacing w:val="-2"/>
          <w:lang w:val="en-US" w:eastAsia="en-US"/>
        </w:rPr>
        <w:t>PROGRAM**</w:t>
      </w:r>
    </w:p>
    <w:p w14:paraId="4A49EC95" w14:textId="22B429C1" w:rsidR="008D1D09" w:rsidRPr="00E4449B" w:rsidRDefault="008D1D09" w:rsidP="002466FC">
      <w:pPr>
        <w:jc w:val="center"/>
        <w:rPr>
          <w:rFonts w:eastAsia="Calibri"/>
          <w:spacing w:val="-2"/>
          <w:lang w:val="en-US" w:eastAsia="en-US"/>
        </w:rPr>
      </w:pPr>
    </w:p>
    <w:p w14:paraId="3204CF05" w14:textId="08CF5D00" w:rsidR="008D1D09" w:rsidRPr="00E4449B" w:rsidRDefault="008D1D09" w:rsidP="006A13CE">
      <w:pPr>
        <w:pBdr>
          <w:bottom w:val="single" w:sz="4" w:space="1" w:color="auto"/>
        </w:pBdr>
        <w:jc w:val="center"/>
        <w:rPr>
          <w:rFonts w:eastAsia="Calibri"/>
          <w:spacing w:val="-2"/>
          <w:lang w:val="en-US" w:eastAsia="en-US"/>
        </w:rPr>
      </w:pPr>
      <w:r w:rsidRPr="002466FC">
        <w:rPr>
          <w:rFonts w:eastAsia="Calibri"/>
          <w:b/>
          <w:bCs/>
          <w:lang w:val="en-US" w:eastAsia="en-US"/>
        </w:rPr>
        <w:t>61.1%</w:t>
      </w:r>
      <w:r w:rsidR="00987E91" w:rsidRPr="002466FC">
        <w:rPr>
          <w:rFonts w:eastAsia="Calibri"/>
          <w:b/>
          <w:bCs/>
          <w:lang w:val="en-US" w:eastAsia="en-US"/>
        </w:rPr>
        <w:t>*</w:t>
      </w:r>
      <w:r w:rsidRPr="00E4449B">
        <w:rPr>
          <w:rFonts w:eastAsia="Calibri"/>
          <w:spacing w:val="-2"/>
          <w:lang w:val="en-US" w:eastAsia="en-US"/>
        </w:rPr>
        <w:t xml:space="preserve"> </w:t>
      </w:r>
      <w:r w:rsidRPr="00E4449B">
        <w:rPr>
          <w:rFonts w:eastAsia="Calibri"/>
          <w:spacing w:val="-2"/>
          <w:lang w:val="en-US" w:eastAsia="en-US"/>
        </w:rPr>
        <w:br/>
      </w:r>
      <w:r w:rsidR="00987E91" w:rsidRPr="00E4449B">
        <w:rPr>
          <w:rFonts w:eastAsia="Calibri"/>
          <w:spacing w:val="-2"/>
          <w:lang w:val="en-US" w:eastAsia="en-US"/>
        </w:rPr>
        <w:t>OF ABORIGINAL AND TORRES STRAIT ISLANDER QUEENSLANDERS BEING</w:t>
      </w:r>
      <w:r w:rsidR="006A13CE">
        <w:rPr>
          <w:rFonts w:eastAsia="Calibri"/>
          <w:spacing w:val="-2"/>
          <w:lang w:val="en-US" w:eastAsia="en-US"/>
        </w:rPr>
        <w:br/>
      </w:r>
      <w:r w:rsidR="00987E91" w:rsidRPr="00AF37B9">
        <w:rPr>
          <w:rFonts w:eastAsia="Calibri"/>
          <w:b/>
          <w:spacing w:val="-2"/>
          <w:lang w:val="en-US" w:eastAsia="en-US"/>
        </w:rPr>
        <w:t>SUCCESSFULLY EMPLOYED</w:t>
      </w:r>
      <w:r w:rsidR="00987E91" w:rsidRPr="00E4449B">
        <w:rPr>
          <w:rFonts w:eastAsia="Calibri"/>
          <w:bCs/>
          <w:spacing w:val="-2"/>
          <w:lang w:val="en-US" w:eastAsia="en-US"/>
        </w:rPr>
        <w:t xml:space="preserve"> SIX MONTHS</w:t>
      </w:r>
      <w:r w:rsidR="00987E91" w:rsidRPr="00E4449B">
        <w:rPr>
          <w:rFonts w:eastAsia="Calibri"/>
          <w:spacing w:val="-2"/>
          <w:lang w:val="en-US" w:eastAsia="en-US"/>
        </w:rPr>
        <w:t xml:space="preserve"> AFTER PLACEMENT BY THE YOUTH EMPLOYMENT PROGRAM**</w:t>
      </w:r>
    </w:p>
    <w:p w14:paraId="0F22E9D5" w14:textId="49714641" w:rsidR="00071371" w:rsidRPr="00E4449B" w:rsidRDefault="00071371" w:rsidP="002466FC">
      <w:pPr>
        <w:jc w:val="center"/>
        <w:rPr>
          <w:rFonts w:eastAsia="Calibri"/>
          <w:spacing w:val="-2"/>
          <w:lang w:val="en-US" w:eastAsia="en-US"/>
        </w:rPr>
      </w:pPr>
    </w:p>
    <w:p w14:paraId="5D71AD5D" w14:textId="365CCAC7" w:rsidR="00071371" w:rsidRPr="006A13CE" w:rsidRDefault="00071371" w:rsidP="006A13CE">
      <w:pPr>
        <w:pBdr>
          <w:bottom w:val="single" w:sz="4" w:space="1" w:color="auto"/>
        </w:pBdr>
        <w:jc w:val="center"/>
        <w:rPr>
          <w:rFonts w:eastAsia="Calibri"/>
          <w:b/>
          <w:bCs/>
          <w:lang w:val="en-US" w:eastAsia="en-US"/>
        </w:rPr>
      </w:pPr>
      <w:r w:rsidRPr="002466FC">
        <w:rPr>
          <w:rFonts w:eastAsia="Calibri"/>
          <w:b/>
          <w:bCs/>
          <w:lang w:val="en-US" w:eastAsia="en-US"/>
        </w:rPr>
        <w:t>82%*</w:t>
      </w:r>
      <w:r w:rsidR="006A13CE">
        <w:rPr>
          <w:rFonts w:eastAsia="Calibri"/>
          <w:b/>
          <w:bCs/>
          <w:lang w:val="en-US" w:eastAsia="en-US"/>
        </w:rPr>
        <w:br/>
      </w:r>
      <w:r w:rsidR="00602C27" w:rsidRPr="00AF37B9">
        <w:rPr>
          <w:rFonts w:eastAsia="Calibri"/>
          <w:b/>
          <w:lang w:val="en-US" w:eastAsia="en-US"/>
        </w:rPr>
        <w:t>OF CUSTOMERS SATISIFIED</w:t>
      </w:r>
      <w:r w:rsidR="00602C27" w:rsidRPr="00E4449B">
        <w:rPr>
          <w:rFonts w:eastAsia="Calibri"/>
          <w:lang w:val="en-US" w:eastAsia="en-US"/>
        </w:rPr>
        <w:t xml:space="preserve"> WITH CULTURAL HERITAGE SERVICES</w:t>
      </w:r>
    </w:p>
    <w:p w14:paraId="19A0F618" w14:textId="77777777" w:rsidR="00071371" w:rsidRPr="00E4449B" w:rsidRDefault="00071371" w:rsidP="002466FC">
      <w:pPr>
        <w:jc w:val="center"/>
        <w:rPr>
          <w:rFonts w:eastAsia="Calibri"/>
          <w:spacing w:val="-2"/>
          <w:lang w:val="en-US" w:eastAsia="en-US"/>
        </w:rPr>
      </w:pPr>
    </w:p>
    <w:p w14:paraId="3C3A0B85" w14:textId="693D485F" w:rsidR="00602C27" w:rsidRPr="006A13CE" w:rsidRDefault="00602C27" w:rsidP="006A13CE">
      <w:pPr>
        <w:pBdr>
          <w:bottom w:val="single" w:sz="4" w:space="1" w:color="auto"/>
        </w:pBdr>
        <w:jc w:val="center"/>
        <w:rPr>
          <w:rFonts w:eastAsia="Calibri"/>
          <w:b/>
          <w:bCs/>
          <w:w w:val="110"/>
          <w:lang w:val="en-US" w:eastAsia="en-US"/>
        </w:rPr>
      </w:pPr>
      <w:r w:rsidRPr="002466FC">
        <w:rPr>
          <w:rFonts w:eastAsia="Calibri"/>
          <w:b/>
          <w:bCs/>
          <w:lang w:val="en-US" w:eastAsia="en-US"/>
        </w:rPr>
        <w:t>359*</w:t>
      </w:r>
      <w:r w:rsidR="006A13CE">
        <w:rPr>
          <w:rFonts w:eastAsia="Calibri"/>
          <w:b/>
          <w:bCs/>
          <w:w w:val="110"/>
          <w:lang w:val="en-US" w:eastAsia="en-US"/>
        </w:rPr>
        <w:br/>
      </w:r>
      <w:r w:rsidRPr="00E4449B">
        <w:rPr>
          <w:rFonts w:eastAsia="Calibri"/>
          <w:bCs/>
          <w:spacing w:val="-2"/>
          <w:lang w:val="en-US" w:eastAsia="en-US"/>
        </w:rPr>
        <w:t>RESPONDED TO</w:t>
      </w:r>
      <w:r w:rsidRPr="00E4449B">
        <w:rPr>
          <w:rFonts w:eastAsia="Calibri"/>
          <w:spacing w:val="-2"/>
          <w:lang w:val="en-US" w:eastAsia="en-US"/>
        </w:rPr>
        <w:t xml:space="preserve"> </w:t>
      </w:r>
      <w:r w:rsidRPr="00AF37B9">
        <w:rPr>
          <w:rFonts w:eastAsia="Calibri"/>
          <w:b/>
          <w:bCs/>
          <w:spacing w:val="-2"/>
          <w:lang w:val="en-US" w:eastAsia="en-US"/>
        </w:rPr>
        <w:t>REQUESTS FOR HISTORICAL</w:t>
      </w:r>
      <w:r w:rsidRPr="00AF37B9">
        <w:rPr>
          <w:rFonts w:eastAsia="Calibri"/>
          <w:b/>
          <w:bCs/>
          <w:spacing w:val="6"/>
          <w:lang w:val="en-US" w:eastAsia="en-US"/>
        </w:rPr>
        <w:t xml:space="preserve"> </w:t>
      </w:r>
      <w:r w:rsidRPr="00AF37B9">
        <w:rPr>
          <w:rFonts w:eastAsia="Calibri"/>
          <w:b/>
          <w:bCs/>
          <w:spacing w:val="-2"/>
          <w:lang w:val="en-US" w:eastAsia="en-US"/>
        </w:rPr>
        <w:t>RECORDS</w:t>
      </w:r>
      <w:r w:rsidRPr="00E4449B">
        <w:rPr>
          <w:rFonts w:eastAsia="Calibri"/>
          <w:spacing w:val="11"/>
          <w:lang w:val="en-US" w:eastAsia="en-US"/>
        </w:rPr>
        <w:t xml:space="preserve"> </w:t>
      </w:r>
      <w:r w:rsidRPr="00E4449B">
        <w:rPr>
          <w:rFonts w:eastAsia="Calibri"/>
          <w:spacing w:val="-2"/>
          <w:lang w:val="en-US" w:eastAsia="en-US"/>
        </w:rPr>
        <w:t>RELATIN</w:t>
      </w:r>
      <w:r w:rsidRPr="00E4449B">
        <w:rPr>
          <w:rFonts w:eastAsia="Calibri"/>
          <w:lang w:val="en-US" w:eastAsia="en-US"/>
        </w:rPr>
        <w:t>G</w:t>
      </w:r>
      <w:r w:rsidRPr="00E4449B">
        <w:rPr>
          <w:rFonts w:eastAsia="Calibri"/>
          <w:spacing w:val="10"/>
          <w:lang w:val="en-US" w:eastAsia="en-US"/>
        </w:rPr>
        <w:t xml:space="preserve"> </w:t>
      </w:r>
      <w:r w:rsidRPr="00E4449B">
        <w:rPr>
          <w:rFonts w:eastAsia="Calibri"/>
          <w:spacing w:val="-2"/>
          <w:lang w:val="en-US" w:eastAsia="en-US"/>
        </w:rPr>
        <w:t>T</w:t>
      </w:r>
      <w:r w:rsidRPr="00E4449B">
        <w:rPr>
          <w:rFonts w:eastAsia="Calibri"/>
          <w:lang w:val="en-US" w:eastAsia="en-US"/>
        </w:rPr>
        <w:t>O</w:t>
      </w:r>
      <w:r w:rsidRPr="00E4449B">
        <w:rPr>
          <w:rFonts w:eastAsia="Calibri"/>
          <w:spacing w:val="47"/>
          <w:w w:val="98"/>
          <w:lang w:val="en-US" w:eastAsia="en-US"/>
        </w:rPr>
        <w:t xml:space="preserve"> </w:t>
      </w:r>
      <w:r w:rsidRPr="00E4449B">
        <w:rPr>
          <w:rFonts w:eastAsia="Calibri"/>
          <w:spacing w:val="-2"/>
          <w:lang w:val="en-US" w:eastAsia="en-US"/>
        </w:rPr>
        <w:t>A</w:t>
      </w:r>
      <w:r w:rsidRPr="00E4449B">
        <w:rPr>
          <w:rFonts w:eastAsia="Calibri"/>
          <w:lang w:val="en-US" w:eastAsia="en-US"/>
        </w:rPr>
        <w:t>BORIGINAL</w:t>
      </w:r>
      <w:r w:rsidRPr="00E4449B">
        <w:rPr>
          <w:rFonts w:eastAsia="Calibri"/>
          <w:spacing w:val="-13"/>
          <w:lang w:val="en-US" w:eastAsia="en-US"/>
        </w:rPr>
        <w:t xml:space="preserve"> </w:t>
      </w:r>
      <w:r w:rsidRPr="00E4449B">
        <w:rPr>
          <w:rFonts w:eastAsia="Calibri"/>
          <w:lang w:val="en-US" w:eastAsia="en-US"/>
        </w:rPr>
        <w:t>AND</w:t>
      </w:r>
      <w:r w:rsidRPr="00E4449B">
        <w:rPr>
          <w:rFonts w:eastAsia="Calibri"/>
          <w:spacing w:val="-16"/>
          <w:lang w:val="en-US" w:eastAsia="en-US"/>
        </w:rPr>
        <w:t xml:space="preserve"> </w:t>
      </w:r>
      <w:r w:rsidRPr="00E4449B">
        <w:rPr>
          <w:rFonts w:eastAsia="Calibri"/>
          <w:spacing w:val="-3"/>
          <w:lang w:val="en-US" w:eastAsia="en-US"/>
        </w:rPr>
        <w:t>TORRE</w:t>
      </w:r>
      <w:r w:rsidRPr="00E4449B">
        <w:rPr>
          <w:rFonts w:eastAsia="Calibri"/>
          <w:spacing w:val="-2"/>
          <w:lang w:val="en-US" w:eastAsia="en-US"/>
        </w:rPr>
        <w:t>S</w:t>
      </w:r>
      <w:r w:rsidRPr="00E4449B">
        <w:rPr>
          <w:rFonts w:eastAsia="Calibri"/>
          <w:spacing w:val="-16"/>
          <w:lang w:val="en-US" w:eastAsia="en-US"/>
        </w:rPr>
        <w:t xml:space="preserve"> </w:t>
      </w:r>
      <w:r w:rsidRPr="00E4449B">
        <w:rPr>
          <w:rFonts w:eastAsia="Calibri"/>
          <w:lang w:val="en-US" w:eastAsia="en-US"/>
        </w:rPr>
        <w:t>ST</w:t>
      </w:r>
      <w:r w:rsidRPr="00E4449B">
        <w:rPr>
          <w:rFonts w:eastAsia="Calibri"/>
          <w:spacing w:val="-2"/>
          <w:lang w:val="en-US" w:eastAsia="en-US"/>
        </w:rPr>
        <w:t>RAIT</w:t>
      </w:r>
      <w:r w:rsidRPr="00E4449B">
        <w:rPr>
          <w:rFonts w:eastAsia="Calibri"/>
          <w:spacing w:val="-12"/>
          <w:lang w:val="en-US" w:eastAsia="en-US"/>
        </w:rPr>
        <w:t xml:space="preserve"> </w:t>
      </w:r>
      <w:r w:rsidRPr="00E4449B">
        <w:rPr>
          <w:rFonts w:eastAsia="Calibri"/>
          <w:lang w:val="en-US" w:eastAsia="en-US"/>
        </w:rPr>
        <w:t>ISLAND</w:t>
      </w:r>
      <w:r w:rsidRPr="00E4449B">
        <w:rPr>
          <w:rFonts w:eastAsia="Calibri"/>
          <w:spacing w:val="-2"/>
          <w:lang w:val="en-US" w:eastAsia="en-US"/>
        </w:rPr>
        <w:t>ER</w:t>
      </w:r>
      <w:r w:rsidRPr="00E4449B">
        <w:rPr>
          <w:rFonts w:eastAsia="Calibri"/>
          <w:spacing w:val="-12"/>
          <w:lang w:val="en-US" w:eastAsia="en-US"/>
        </w:rPr>
        <w:t xml:space="preserve"> </w:t>
      </w:r>
      <w:r w:rsidRPr="00E4449B">
        <w:rPr>
          <w:rFonts w:eastAsia="Calibri"/>
          <w:spacing w:val="-2"/>
          <w:lang w:val="en-US" w:eastAsia="en-US"/>
        </w:rPr>
        <w:t>QUEEN</w:t>
      </w:r>
      <w:r w:rsidRPr="00E4449B">
        <w:rPr>
          <w:rFonts w:eastAsia="Calibri"/>
          <w:lang w:val="en-US" w:eastAsia="en-US"/>
        </w:rPr>
        <w:t>SLAND</w:t>
      </w:r>
      <w:r w:rsidRPr="00E4449B">
        <w:rPr>
          <w:rFonts w:eastAsia="Calibri"/>
          <w:spacing w:val="-2"/>
          <w:lang w:val="en-US" w:eastAsia="en-US"/>
        </w:rPr>
        <w:t>ER</w:t>
      </w:r>
      <w:r w:rsidRPr="00E4449B">
        <w:rPr>
          <w:rFonts w:eastAsia="Calibri"/>
          <w:lang w:val="en-US" w:eastAsia="en-US"/>
        </w:rPr>
        <w:t>S**</w:t>
      </w:r>
    </w:p>
    <w:p w14:paraId="2EC5909E" w14:textId="77777777" w:rsidR="00951156" w:rsidRPr="00E4449B" w:rsidRDefault="00951156" w:rsidP="002466FC">
      <w:pPr>
        <w:jc w:val="center"/>
        <w:rPr>
          <w:rFonts w:eastAsia="Calibri"/>
          <w:lang w:val="en-US" w:eastAsia="en-US"/>
        </w:rPr>
      </w:pPr>
    </w:p>
    <w:p w14:paraId="37E321ED" w14:textId="13718CF0" w:rsidR="00951156" w:rsidRPr="006A13CE" w:rsidRDefault="00115D8D" w:rsidP="006A13CE">
      <w:pPr>
        <w:pBdr>
          <w:bottom w:val="single" w:sz="4" w:space="1" w:color="auto"/>
        </w:pBdr>
        <w:jc w:val="center"/>
        <w:rPr>
          <w:rFonts w:eastAsia="Calibri"/>
          <w:b/>
          <w:bCs/>
          <w:lang w:val="en-US" w:eastAsia="en-US"/>
        </w:rPr>
      </w:pPr>
      <w:r w:rsidRPr="002466FC">
        <w:rPr>
          <w:rFonts w:eastAsia="Calibri"/>
          <w:b/>
          <w:bCs/>
          <w:lang w:val="en-US" w:eastAsia="en-US"/>
        </w:rPr>
        <w:t>19</w:t>
      </w:r>
      <w:r w:rsidR="00987E91" w:rsidRPr="002466FC">
        <w:rPr>
          <w:rFonts w:eastAsia="Calibri"/>
          <w:b/>
          <w:bCs/>
          <w:lang w:val="en-US" w:eastAsia="en-US"/>
        </w:rPr>
        <w:t>*</w:t>
      </w:r>
      <w:r w:rsidR="006A13CE">
        <w:rPr>
          <w:rFonts w:eastAsia="Calibri"/>
          <w:b/>
          <w:bCs/>
          <w:lang w:val="en-US" w:eastAsia="en-US"/>
        </w:rPr>
        <w:br/>
      </w:r>
      <w:r w:rsidR="00602C27" w:rsidRPr="00AF37B9">
        <w:rPr>
          <w:rFonts w:eastAsia="Calibri"/>
          <w:b/>
          <w:bCs/>
          <w:spacing w:val="-2"/>
          <w:lang w:val="en-US" w:eastAsia="en-US"/>
        </w:rPr>
        <w:t>HOUSES MADE AVAILABLE FOR OWNERSHIP</w:t>
      </w:r>
      <w:r w:rsidR="00602C27" w:rsidRPr="00E4449B">
        <w:rPr>
          <w:rFonts w:eastAsia="Calibri"/>
          <w:spacing w:val="-2"/>
          <w:lang w:val="en-US" w:eastAsia="en-US"/>
        </w:rPr>
        <w:t xml:space="preserve"> BY ABORIGINAL PEOPLES AND TORRES STRAIT ISLANDER PEOPLES IN TARGETED COMMUNITIES</w:t>
      </w:r>
      <w:r w:rsidR="00AF37B9">
        <w:rPr>
          <w:rFonts w:eastAsia="Calibri"/>
          <w:spacing w:val="-2"/>
          <w:lang w:val="en-US" w:eastAsia="en-US"/>
        </w:rPr>
        <w:t>**</w:t>
      </w:r>
    </w:p>
    <w:p w14:paraId="4041EFFA" w14:textId="46114516" w:rsidR="00391236" w:rsidRPr="00E4449B" w:rsidRDefault="00391236" w:rsidP="00391236">
      <w:pPr>
        <w:widowControl w:val="0"/>
        <w:spacing w:before="60" w:after="0"/>
        <w:ind w:left="113" w:right="925"/>
        <w:rPr>
          <w:rFonts w:ascii="ArialMT" w:hAnsi="ArialMT" w:cs="ArialMT"/>
          <w:sz w:val="16"/>
          <w:szCs w:val="16"/>
        </w:rPr>
      </w:pPr>
      <w:r w:rsidRPr="00E4449B">
        <w:rPr>
          <w:rFonts w:ascii="ArialMT" w:hAnsi="ArialMT" w:cs="ArialMT"/>
          <w:sz w:val="16"/>
          <w:szCs w:val="16"/>
        </w:rPr>
        <w:t xml:space="preserve">*Additional performance information is provided in the former Department of Aboriginal and Torres Strait Islander Partnership’s Final Report: 1 July 2020 </w:t>
      </w:r>
      <w:r w:rsidR="00E45BB1" w:rsidRPr="00E4449B">
        <w:rPr>
          <w:rFonts w:ascii="ArialMT" w:hAnsi="ArialMT" w:cs="ArialMT"/>
          <w:sz w:val="16"/>
          <w:szCs w:val="16"/>
        </w:rPr>
        <w:t>to</w:t>
      </w:r>
      <w:r w:rsidRPr="00E4449B">
        <w:rPr>
          <w:rFonts w:ascii="ArialMT" w:hAnsi="ArialMT" w:cs="ArialMT"/>
          <w:sz w:val="16"/>
          <w:szCs w:val="16"/>
        </w:rPr>
        <w:t xml:space="preserve"> 12 November 2020.</w:t>
      </w:r>
    </w:p>
    <w:p w14:paraId="7F54C8BE" w14:textId="5ABD0EC8" w:rsidR="00265E5E" w:rsidRPr="00E4449B" w:rsidRDefault="00602C27" w:rsidP="00E43202">
      <w:pPr>
        <w:widowControl w:val="0"/>
        <w:spacing w:before="60" w:after="600"/>
        <w:ind w:left="113" w:right="924"/>
        <w:rPr>
          <w:rFonts w:ascii="ArialMT" w:hAnsi="ArialMT" w:cs="ArialMT"/>
          <w:sz w:val="16"/>
          <w:szCs w:val="16"/>
        </w:rPr>
      </w:pPr>
      <w:r w:rsidRPr="00E4449B">
        <w:rPr>
          <w:rFonts w:ascii="ArialMT" w:hAnsi="ArialMT" w:cs="ArialMT"/>
          <w:sz w:val="16"/>
          <w:szCs w:val="16"/>
        </w:rPr>
        <w:t>**13 November 2020 to 30 June 202</w:t>
      </w:r>
      <w:r w:rsidR="00265E5E" w:rsidRPr="00E4449B">
        <w:rPr>
          <w:rFonts w:ascii="ArialMT" w:hAnsi="ArialMT" w:cs="ArialMT"/>
          <w:sz w:val="16"/>
          <w:szCs w:val="16"/>
        </w:rPr>
        <w:t>1</w:t>
      </w:r>
    </w:p>
    <w:p w14:paraId="00CCE49A" w14:textId="2A3D4993" w:rsidR="00265E5E" w:rsidRPr="00E4449B" w:rsidRDefault="00F81C4F" w:rsidP="00392640">
      <w:pPr>
        <w:pStyle w:val="Heading2"/>
      </w:pPr>
      <w:bookmarkStart w:id="8" w:name="_Toc81984370"/>
      <w:r w:rsidRPr="00E4449B">
        <w:t>DELIVERED DEPARTMENTAL OBJECTIVES</w:t>
      </w:r>
      <w:bookmarkEnd w:id="8"/>
    </w:p>
    <w:p w14:paraId="44D412B2" w14:textId="78BB13B2" w:rsidR="00265E5E" w:rsidRPr="002466FC" w:rsidRDefault="00F81C4F" w:rsidP="00E43202">
      <w:pPr>
        <w:spacing w:before="240"/>
      </w:pPr>
      <w:r w:rsidRPr="00E4449B">
        <w:t>IMPROVED COMMUNITY PARTICIPATION, AND ECONOMIC PARTICIPATION, OUTCOMES FOR ABORIGINAL AND TORRES STRAIT ISLANDER QUEENSLANDERS BY:</w:t>
      </w:r>
    </w:p>
    <w:p w14:paraId="16DE178D" w14:textId="346515D3" w:rsidR="00265E5E" w:rsidRPr="002466FC" w:rsidRDefault="00F81C4F" w:rsidP="002466FC">
      <w:pPr>
        <w:pStyle w:val="ListBullet"/>
      </w:pPr>
      <w:r w:rsidRPr="00AF37B9">
        <w:rPr>
          <w:b/>
          <w:bCs/>
        </w:rPr>
        <w:t>CO-DESIGNING</w:t>
      </w:r>
      <w:r w:rsidRPr="002466FC">
        <w:t xml:space="preserve"> POLICIES, PROGRAMS AND SERVICES</w:t>
      </w:r>
    </w:p>
    <w:p w14:paraId="613A2A60" w14:textId="07F2F67A" w:rsidR="00265E5E" w:rsidRPr="002466FC" w:rsidRDefault="00F81C4F" w:rsidP="002466FC">
      <w:pPr>
        <w:pStyle w:val="ListBullet"/>
      </w:pPr>
      <w:r w:rsidRPr="00AF37B9">
        <w:rPr>
          <w:b/>
          <w:bCs/>
        </w:rPr>
        <w:t>INFLUENCING</w:t>
      </w:r>
      <w:r w:rsidRPr="002466FC">
        <w:t xml:space="preserve"> SERVICE DELIVERY AND ECONOMIC OUTCOMES</w:t>
      </w:r>
    </w:p>
    <w:p w14:paraId="0F78A0E2" w14:textId="56CB324A" w:rsidR="00265E5E" w:rsidRPr="002466FC" w:rsidRDefault="00F81C4F" w:rsidP="002466FC">
      <w:pPr>
        <w:pStyle w:val="ListBullet"/>
      </w:pPr>
      <w:r w:rsidRPr="00AF37B9">
        <w:rPr>
          <w:b/>
          <w:bCs/>
        </w:rPr>
        <w:t xml:space="preserve">SUPPORTING </w:t>
      </w:r>
      <w:r w:rsidRPr="002466FC">
        <w:t>SAFE AND CONNECTED COMMUNITIES.</w:t>
      </w:r>
    </w:p>
    <w:p w14:paraId="40FB0B42" w14:textId="77777777" w:rsidR="006A13CE" w:rsidRDefault="006A13CE">
      <w:pPr>
        <w:spacing w:after="0" w:line="240" w:lineRule="auto"/>
      </w:pPr>
      <w:r>
        <w:br w:type="page"/>
      </w:r>
    </w:p>
    <w:p w14:paraId="728B2182" w14:textId="2C456387" w:rsidR="004D0CFD" w:rsidRDefault="004D0CFD" w:rsidP="004D0CFD">
      <w:pPr>
        <w:pStyle w:val="Heading2"/>
      </w:pPr>
      <w:bookmarkStart w:id="9" w:name="_Toc81984371"/>
      <w:r>
        <w:lastRenderedPageBreak/>
        <w:t>Strategic overview</w:t>
      </w:r>
      <w:bookmarkEnd w:id="9"/>
    </w:p>
    <w:p w14:paraId="31E4A9C5" w14:textId="5E9160C0" w:rsidR="00987E91" w:rsidRPr="00E4449B" w:rsidRDefault="00987E91" w:rsidP="00D83B53">
      <w:r w:rsidRPr="00E4449B">
        <w:t>The Department provides whole-of-government leadership to deliver a new way of working with Aboriginal and Torres Strait Islander Queenslanders, delivering real change and real outcomes through a genuine partnership approach, to continue the journey to reconciliation. Path to Treaty and Local Thriving Communities are key initiatives that are giving effect to this reframed relationship. This includes key policy and program initiatives in the areas of:</w:t>
      </w:r>
    </w:p>
    <w:p w14:paraId="2C51A9CF" w14:textId="77777777" w:rsidR="00987E91" w:rsidRPr="00D83B53" w:rsidRDefault="00987E91" w:rsidP="00D83B53">
      <w:pPr>
        <w:pStyle w:val="ListBullet"/>
      </w:pPr>
      <w:r w:rsidRPr="00D83B53">
        <w:t>policy co-design across government</w:t>
      </w:r>
    </w:p>
    <w:p w14:paraId="53EC295D" w14:textId="77777777" w:rsidR="00987E91" w:rsidRPr="00D83B53" w:rsidRDefault="00987E91" w:rsidP="00D83B53">
      <w:pPr>
        <w:pStyle w:val="ListBullet"/>
      </w:pPr>
      <w:r w:rsidRPr="00D83B53">
        <w:t>employment and business development</w:t>
      </w:r>
    </w:p>
    <w:p w14:paraId="25FBB359" w14:textId="07696C1D" w:rsidR="00987E91" w:rsidRPr="00D83B53" w:rsidRDefault="00987E91" w:rsidP="00D83B53">
      <w:pPr>
        <w:pStyle w:val="ListBullet"/>
      </w:pPr>
      <w:r w:rsidRPr="00D83B53">
        <w:t xml:space="preserve">land tenure resolution, home ownership, </w:t>
      </w:r>
      <w:r w:rsidR="00AF37B9">
        <w:t xml:space="preserve">and </w:t>
      </w:r>
      <w:r w:rsidRPr="00D83B53">
        <w:t>housing and land development in remote communities</w:t>
      </w:r>
    </w:p>
    <w:p w14:paraId="441C19A6" w14:textId="77777777" w:rsidR="00987E91" w:rsidRPr="00D83B53" w:rsidRDefault="00987E91" w:rsidP="00D83B53">
      <w:pPr>
        <w:pStyle w:val="ListBullet"/>
      </w:pPr>
      <w:r w:rsidRPr="00D83B53">
        <w:t>integrated infrastructure coordination and delivery in remote communities</w:t>
      </w:r>
    </w:p>
    <w:p w14:paraId="0510D79D" w14:textId="77777777" w:rsidR="00987E91" w:rsidRPr="00D83B53" w:rsidRDefault="00987E91" w:rsidP="00D83B53">
      <w:pPr>
        <w:pStyle w:val="ListBullet"/>
      </w:pPr>
      <w:r w:rsidRPr="00D83B53">
        <w:t>cultural heritage and cultural recognition</w:t>
      </w:r>
    </w:p>
    <w:p w14:paraId="722C617F" w14:textId="77777777" w:rsidR="00987E91" w:rsidRPr="00D83B53" w:rsidRDefault="00987E91" w:rsidP="00D83B53">
      <w:pPr>
        <w:pStyle w:val="ListBullet"/>
      </w:pPr>
      <w:r w:rsidRPr="00D83B53">
        <w:t>cultural capability and engagement</w:t>
      </w:r>
    </w:p>
    <w:p w14:paraId="2BA53F92" w14:textId="77777777" w:rsidR="00987E91" w:rsidRPr="00D83B53" w:rsidRDefault="00987E91" w:rsidP="00D83B53">
      <w:pPr>
        <w:pStyle w:val="ListBullet"/>
      </w:pPr>
      <w:r w:rsidRPr="00D83B53">
        <w:t>reconciliation, voice, truth telling and the Path to Treaty</w:t>
      </w:r>
    </w:p>
    <w:p w14:paraId="7D849662" w14:textId="77777777" w:rsidR="00987E91" w:rsidRPr="00D83B53" w:rsidRDefault="00987E91" w:rsidP="00E43202">
      <w:pPr>
        <w:pStyle w:val="ListBullet"/>
        <w:spacing w:after="200"/>
        <w:ind w:left="357" w:hanging="357"/>
        <w:contextualSpacing w:val="0"/>
      </w:pPr>
      <w:r w:rsidRPr="00D83B53">
        <w:t>community and personal histories services.</w:t>
      </w:r>
    </w:p>
    <w:p w14:paraId="4C733141" w14:textId="3BEF7B5E" w:rsidR="00171477" w:rsidRPr="00E4449B" w:rsidRDefault="00171477" w:rsidP="00D83B53">
      <w:pPr>
        <w:pStyle w:val="Heading3"/>
      </w:pPr>
      <w:bookmarkStart w:id="10" w:name="_Toc78287363"/>
      <w:bookmarkStart w:id="11" w:name="_Toc78355770"/>
      <w:bookmarkStart w:id="12" w:name="_Toc67046704"/>
      <w:r w:rsidRPr="00D83B53">
        <w:t>Local</w:t>
      </w:r>
      <w:r w:rsidRPr="00E4449B">
        <w:t xml:space="preserve"> Thriving Communities </w:t>
      </w:r>
      <w:bookmarkEnd w:id="10"/>
      <w:bookmarkEnd w:id="11"/>
    </w:p>
    <w:p w14:paraId="37486B0A" w14:textId="36261156" w:rsidR="00872E9D" w:rsidRPr="00E4449B" w:rsidRDefault="00872E9D" w:rsidP="00D83B53">
      <w:pPr>
        <w:rPr>
          <w:rFonts w:eastAsia="Calibri"/>
          <w:w w:val="105"/>
          <w:lang w:val="en-US"/>
        </w:rPr>
      </w:pPr>
      <w:r w:rsidRPr="00E4449B">
        <w:rPr>
          <w:rFonts w:eastAsia="Calibri"/>
          <w:w w:val="105"/>
          <w:lang w:val="en-US"/>
        </w:rPr>
        <w:t>The Queensland Government is committed to working with Aboriginal and Torres Strait Islander communities to increase community-led decision-making into service design and delivery through the Local Thriving Communities reform agenda</w:t>
      </w:r>
      <w:r w:rsidR="00AC767D" w:rsidRPr="00E4449B">
        <w:rPr>
          <w:rFonts w:eastAsia="Calibri"/>
          <w:w w:val="105"/>
          <w:lang w:val="en-US"/>
        </w:rPr>
        <w:t>. This includes remote and discrete communities and urban and regional areas right across Queensland.</w:t>
      </w:r>
    </w:p>
    <w:p w14:paraId="3406DA59" w14:textId="77777777" w:rsidR="00C3396D" w:rsidRDefault="00872E9D" w:rsidP="00D83B53">
      <w:pPr>
        <w:rPr>
          <w:rFonts w:eastAsia="Calibri"/>
          <w:w w:val="105"/>
          <w:lang w:val="en-US"/>
        </w:rPr>
      </w:pPr>
      <w:r w:rsidRPr="00E4449B">
        <w:rPr>
          <w:rFonts w:eastAsia="Calibri"/>
          <w:w w:val="105"/>
          <w:lang w:val="en-US"/>
        </w:rPr>
        <w:t>Local Thriving Communities (LTC)</w:t>
      </w:r>
      <w:r w:rsidR="00AC767D" w:rsidRPr="00E4449B">
        <w:rPr>
          <w:rFonts w:eastAsia="Calibri"/>
          <w:w w:val="105"/>
          <w:lang w:val="en-US"/>
        </w:rPr>
        <w:t>, which is delivering the Queensland Government’s response to the Queensland Productivity Commission inquiry into service delivery in remote and discrete Indigenous Communities,</w:t>
      </w:r>
      <w:r w:rsidRPr="00E4449B">
        <w:rPr>
          <w:rFonts w:eastAsia="Calibri"/>
          <w:w w:val="105"/>
          <w:lang w:val="en-US"/>
        </w:rPr>
        <w:t xml:space="preserve"> aims to improve self-determination, service delivery, productivity, governance and economic opportunities for remote and discrete Aboriginal and Torres Strait Islander communities in Queensland. </w:t>
      </w:r>
    </w:p>
    <w:p w14:paraId="703F3B04" w14:textId="537E6C20" w:rsidR="00872E9D" w:rsidRPr="00E4449B" w:rsidRDefault="00872E9D" w:rsidP="00D83B53">
      <w:pPr>
        <w:rPr>
          <w:rFonts w:eastAsia="Calibri"/>
          <w:w w:val="105"/>
          <w:lang w:val="en-US"/>
        </w:rPr>
      </w:pPr>
      <w:r w:rsidRPr="00E4449B">
        <w:rPr>
          <w:rFonts w:eastAsia="Calibri"/>
          <w:w w:val="105"/>
          <w:lang w:val="en-US"/>
        </w:rPr>
        <w:t>Through LTC</w:t>
      </w:r>
      <w:r w:rsidR="00AF31AC" w:rsidRPr="00E4449B">
        <w:rPr>
          <w:rFonts w:eastAsia="Calibri"/>
          <w:w w:val="105"/>
          <w:lang w:val="en-US"/>
        </w:rPr>
        <w:t>,</w:t>
      </w:r>
      <w:r w:rsidRPr="00E4449B">
        <w:rPr>
          <w:rFonts w:eastAsia="Calibri"/>
          <w:w w:val="105"/>
          <w:lang w:val="en-US"/>
        </w:rPr>
        <w:t xml:space="preserve"> the Queensland Government seeks to build on a community’s strengths; embracing existing leadership structures including Indigenous councils and community leaders</w:t>
      </w:r>
      <w:r w:rsidR="00AF31AC" w:rsidRPr="00E4449B">
        <w:rPr>
          <w:rFonts w:eastAsia="Calibri"/>
          <w:w w:val="105"/>
          <w:lang w:val="en-US"/>
        </w:rPr>
        <w:t>,</w:t>
      </w:r>
      <w:r w:rsidRPr="00E4449B">
        <w:rPr>
          <w:rFonts w:eastAsia="Calibri"/>
          <w:w w:val="105"/>
          <w:lang w:val="en-US"/>
        </w:rPr>
        <w:t xml:space="preserve"> to enable Local Decision</w:t>
      </w:r>
      <w:r w:rsidR="00A67690" w:rsidRPr="00E4449B">
        <w:rPr>
          <w:rFonts w:eastAsia="Calibri"/>
          <w:w w:val="105"/>
          <w:lang w:val="en-US"/>
        </w:rPr>
        <w:t>-</w:t>
      </w:r>
      <w:r w:rsidRPr="00E4449B">
        <w:rPr>
          <w:rFonts w:eastAsia="Calibri"/>
          <w:w w:val="105"/>
          <w:lang w:val="en-US"/>
        </w:rPr>
        <w:t xml:space="preserve">Making Bodies (LDMBs) that will: </w:t>
      </w:r>
    </w:p>
    <w:p w14:paraId="44C8073B" w14:textId="0DC7CEBD" w:rsidR="00872E9D" w:rsidRPr="00D83B53" w:rsidRDefault="00872E9D" w:rsidP="00D83B53">
      <w:pPr>
        <w:pStyle w:val="ListBullet"/>
        <w:rPr>
          <w:rFonts w:eastAsia="Calibri"/>
        </w:rPr>
      </w:pPr>
      <w:r w:rsidRPr="00D83B53">
        <w:rPr>
          <w:rFonts w:eastAsia="Calibri"/>
        </w:rPr>
        <w:t xml:space="preserve">co-design and influence </w:t>
      </w:r>
      <w:r w:rsidR="00AF31AC" w:rsidRPr="00D83B53">
        <w:rPr>
          <w:rFonts w:eastAsia="Calibri"/>
        </w:rPr>
        <w:t xml:space="preserve">the </w:t>
      </w:r>
      <w:r w:rsidRPr="00D83B53">
        <w:rPr>
          <w:rFonts w:eastAsia="Calibri"/>
        </w:rPr>
        <w:t>delivery of services</w:t>
      </w:r>
    </w:p>
    <w:p w14:paraId="48CA4929" w14:textId="77777777" w:rsidR="00872E9D" w:rsidRPr="00D83B53" w:rsidRDefault="00872E9D" w:rsidP="00D83B53">
      <w:pPr>
        <w:pStyle w:val="ListBullet"/>
        <w:rPr>
          <w:rFonts w:eastAsia="Calibri"/>
        </w:rPr>
      </w:pPr>
      <w:r w:rsidRPr="00D83B53">
        <w:rPr>
          <w:rFonts w:eastAsia="Calibri"/>
        </w:rPr>
        <w:t xml:space="preserve">ensure investment makes their community stronger </w:t>
      </w:r>
    </w:p>
    <w:p w14:paraId="136584DC" w14:textId="77777777" w:rsidR="00872E9D" w:rsidRPr="00D83B53" w:rsidRDefault="00872E9D" w:rsidP="00D83B53">
      <w:pPr>
        <w:pStyle w:val="ListBullet"/>
        <w:rPr>
          <w:rFonts w:eastAsia="Calibri"/>
        </w:rPr>
      </w:pPr>
      <w:r w:rsidRPr="00D83B53">
        <w:rPr>
          <w:rFonts w:eastAsia="Calibri"/>
        </w:rPr>
        <w:t xml:space="preserve">maximise opportunities from local service and industry partnerships. </w:t>
      </w:r>
    </w:p>
    <w:p w14:paraId="6D88A94E" w14:textId="075C00BA" w:rsidR="00AC767D" w:rsidRPr="00E4449B" w:rsidRDefault="00AC767D" w:rsidP="00D83B53">
      <w:pPr>
        <w:rPr>
          <w:rFonts w:eastAsia="Calibri"/>
          <w:w w:val="105"/>
          <w:lang w:val="en-US"/>
        </w:rPr>
      </w:pPr>
      <w:r w:rsidRPr="00E4449B">
        <w:rPr>
          <w:rFonts w:eastAsia="Calibri"/>
          <w:w w:val="105"/>
          <w:lang w:val="en-US"/>
        </w:rPr>
        <w:t xml:space="preserve">A key focus of LDMBs will be ensuring greater accountability to the community for government investment, including addressing the unnecessary duplication of services in </w:t>
      </w:r>
      <w:r w:rsidR="007F6D12">
        <w:rPr>
          <w:rFonts w:eastAsia="Calibri"/>
          <w:w w:val="105"/>
          <w:lang w:val="en-US"/>
        </w:rPr>
        <w:t xml:space="preserve">the </w:t>
      </w:r>
      <w:r w:rsidRPr="00E4449B">
        <w:rPr>
          <w:rFonts w:eastAsia="Calibri"/>
          <w:w w:val="105"/>
          <w:lang w:val="en-US"/>
        </w:rPr>
        <w:t>community.</w:t>
      </w:r>
    </w:p>
    <w:p w14:paraId="13074105" w14:textId="5440B738" w:rsidR="00872E9D" w:rsidRPr="00D83B53" w:rsidRDefault="00872E9D" w:rsidP="00D83B53">
      <w:pPr>
        <w:rPr>
          <w:rFonts w:eastAsia="Calibri"/>
          <w:w w:val="105"/>
          <w:lang w:val="en-US"/>
        </w:rPr>
      </w:pPr>
      <w:r w:rsidRPr="00E4449B">
        <w:rPr>
          <w:rFonts w:eastAsia="Calibri"/>
          <w:w w:val="105"/>
          <w:lang w:val="en-US"/>
        </w:rPr>
        <w:t>Through the LTC agenda, the department also works in partnership with Aboriginal and Torres Strait Islander Queenslanders to deliver initiatives focused on Aboriginal and Torres Strait Islander youth mental health and suicide prevention. The department works in partnership with the Queensland Mental Health Commission and Aboriginal and Torres Strait Islander Queenslanders to co-design initiatives to strengthen mental health and wellbeing, respond to problematic alcohol and other drug use, and reduce rates of suicide in remote and discrete Aboriginal and Torres Strait Islander communities.</w:t>
      </w:r>
    </w:p>
    <w:p w14:paraId="1CD3A7B0" w14:textId="1FA4DEE2" w:rsidR="00171477" w:rsidRPr="00D83B53" w:rsidRDefault="00171477" w:rsidP="00D21656">
      <w:pPr>
        <w:pStyle w:val="Heading4"/>
      </w:pPr>
      <w:r w:rsidRPr="00D83B53">
        <w:t>Key achievements</w:t>
      </w:r>
    </w:p>
    <w:p w14:paraId="7ED4C3D8" w14:textId="23BB4649" w:rsidR="00171477" w:rsidRPr="00E4449B" w:rsidRDefault="00171477" w:rsidP="00D83B53">
      <w:pPr>
        <w:rPr>
          <w:lang w:eastAsia="en-US"/>
        </w:rPr>
      </w:pPr>
      <w:r w:rsidRPr="00E4449B">
        <w:rPr>
          <w:lang w:eastAsia="en-US"/>
        </w:rPr>
        <w:t>During the reporting period, the department</w:t>
      </w:r>
      <w:r w:rsidR="00AF31AC" w:rsidRPr="00E4449B">
        <w:rPr>
          <w:lang w:eastAsia="en-US"/>
        </w:rPr>
        <w:t>:</w:t>
      </w:r>
    </w:p>
    <w:p w14:paraId="6F662EA7" w14:textId="7232FBF0" w:rsidR="00872E9D" w:rsidRPr="00D83B53" w:rsidRDefault="00872E9D" w:rsidP="00D83B53">
      <w:pPr>
        <w:pStyle w:val="ListBullet"/>
      </w:pPr>
      <w:r w:rsidRPr="00D83B53">
        <w:t>engaged with each remote and discrete Aboriginal and Torres Strait Islander communit</w:t>
      </w:r>
      <w:r w:rsidR="007F6D12">
        <w:t>y</w:t>
      </w:r>
      <w:r w:rsidRPr="00D83B53">
        <w:t xml:space="preserve"> on local decision-making</w:t>
      </w:r>
    </w:p>
    <w:p w14:paraId="3E18C137" w14:textId="12B8A373" w:rsidR="00872E9D" w:rsidRPr="00D83B53" w:rsidRDefault="00872E9D" w:rsidP="00D83B53">
      <w:pPr>
        <w:pStyle w:val="ListBullet"/>
      </w:pPr>
      <w:r w:rsidRPr="00D83B53">
        <w:t>supported communities to explore options for local decision-making models, including facilitating cross</w:t>
      </w:r>
      <w:r w:rsidR="00AF31AC" w:rsidRPr="00D83B53">
        <w:t>-</w:t>
      </w:r>
      <w:r w:rsidRPr="00D83B53">
        <w:t>community discussion</w:t>
      </w:r>
      <w:r w:rsidR="00AF31AC" w:rsidRPr="00D83B53">
        <w:t>s</w:t>
      </w:r>
      <w:r w:rsidRPr="00D83B53">
        <w:t xml:space="preserve"> </w:t>
      </w:r>
    </w:p>
    <w:p w14:paraId="56B94142" w14:textId="28F81BC0" w:rsidR="00872E9D" w:rsidRPr="00D83B53" w:rsidRDefault="00872E9D" w:rsidP="00D83B53">
      <w:pPr>
        <w:pStyle w:val="ListBullet"/>
      </w:pPr>
      <w:r w:rsidRPr="00D83B53">
        <w:t>responded to community-led decision-making processes by supporting an emerging local decision</w:t>
      </w:r>
      <w:r w:rsidR="00AF31AC" w:rsidRPr="00D83B53">
        <w:t>-</w:t>
      </w:r>
      <w:r w:rsidRPr="00D83B53">
        <w:t xml:space="preserve">making body in one community and remunerating eligible community members </w:t>
      </w:r>
    </w:p>
    <w:p w14:paraId="1C09587F" w14:textId="0AB4D4AE" w:rsidR="00872E9D" w:rsidRPr="00D83B53" w:rsidRDefault="00AF31AC" w:rsidP="00D83B53">
      <w:pPr>
        <w:pStyle w:val="ListBullet"/>
      </w:pPr>
      <w:r w:rsidRPr="00D83B53">
        <w:t>a</w:t>
      </w:r>
      <w:r w:rsidR="00872E9D" w:rsidRPr="00D83B53">
        <w:t>llocated $190,000 across 19 remote and discrete communities to support leadership development and community engagement to progress</w:t>
      </w:r>
      <w:r w:rsidRPr="00D83B53">
        <w:t xml:space="preserve"> a</w:t>
      </w:r>
      <w:r w:rsidR="00872E9D" w:rsidRPr="00D83B53">
        <w:t xml:space="preserve"> local decision-making body  </w:t>
      </w:r>
    </w:p>
    <w:p w14:paraId="2D94B99C" w14:textId="4E75CFBB" w:rsidR="00872E9D" w:rsidRPr="00D83B53" w:rsidRDefault="00AF31AC" w:rsidP="00D83B53">
      <w:pPr>
        <w:pStyle w:val="ListBullet"/>
      </w:pPr>
      <w:r w:rsidRPr="00D83B53">
        <w:lastRenderedPageBreak/>
        <w:t>a</w:t>
      </w:r>
      <w:r w:rsidR="00872E9D" w:rsidRPr="00D83B53">
        <w:t xml:space="preserve">llocated $140, 000 to Torres Cape Indigenous Council Alliance (TCICA) to support increased collaboration and engagement opportunities with member councils from Cape York, Torres Strait and the Gulf region as well as non-TCICA members </w:t>
      </w:r>
    </w:p>
    <w:p w14:paraId="71549365" w14:textId="1F75CC28" w:rsidR="00872E9D" w:rsidRPr="00D83B53" w:rsidRDefault="00872E9D" w:rsidP="00D83B53">
      <w:pPr>
        <w:pStyle w:val="ListBullet"/>
      </w:pPr>
      <w:r w:rsidRPr="00D83B53">
        <w:t>held three meetings of the Joint Coordinating Committee, a governance mechanism co-chaired by community and government to share decision</w:t>
      </w:r>
      <w:r w:rsidR="00FE5CD8" w:rsidRPr="00D83B53">
        <w:t>-</w:t>
      </w:r>
      <w:r w:rsidRPr="00D83B53">
        <w:t>making and maintain an iterative approach to implementation of the LTC reform. This included a meeting and community engagement in Yarrabah on 17 March 2021</w:t>
      </w:r>
    </w:p>
    <w:p w14:paraId="00054BF6" w14:textId="23C71B5D" w:rsidR="005E5AD9" w:rsidRPr="00D83B53" w:rsidRDefault="00872E9D" w:rsidP="00D83B53">
      <w:pPr>
        <w:pStyle w:val="ListBullet"/>
      </w:pPr>
      <w:r w:rsidRPr="00D83B53">
        <w:t xml:space="preserve">progressed the LTC </w:t>
      </w:r>
      <w:r w:rsidR="00C3396D">
        <w:t>i</w:t>
      </w:r>
      <w:r w:rsidRPr="00D83B53">
        <w:t xml:space="preserve">mplementation </w:t>
      </w:r>
      <w:r w:rsidR="00C3396D">
        <w:t>p</w:t>
      </w:r>
      <w:r w:rsidRPr="00D83B53">
        <w:t xml:space="preserve">lan with a focus on driving government readiness through the whole-of government </w:t>
      </w:r>
      <w:r w:rsidR="00C3396D">
        <w:t>i</w:t>
      </w:r>
      <w:r w:rsidRPr="00D83B53">
        <w:t xml:space="preserve">nter-departmental </w:t>
      </w:r>
      <w:r w:rsidR="00C3396D">
        <w:t>c</w:t>
      </w:r>
      <w:r w:rsidRPr="00D83B53">
        <w:t>ommittee to create the enabling environment for local decision</w:t>
      </w:r>
      <w:r w:rsidR="00AF31AC" w:rsidRPr="00D83B53">
        <w:t>-</w:t>
      </w:r>
      <w:r w:rsidRPr="00D83B53">
        <w:t>making.</w:t>
      </w:r>
    </w:p>
    <w:p w14:paraId="6433668B" w14:textId="77777777" w:rsidR="00D67523" w:rsidRPr="00D83B53" w:rsidRDefault="00D67523" w:rsidP="00D83B53">
      <w:pPr>
        <w:pStyle w:val="Heading3"/>
      </w:pPr>
      <w:bookmarkStart w:id="13" w:name="_Toc78287366"/>
      <w:bookmarkStart w:id="14" w:name="_Toc78355773"/>
      <w:r w:rsidRPr="00D83B53">
        <w:t>Path to Treaty</w:t>
      </w:r>
      <w:bookmarkEnd w:id="13"/>
      <w:bookmarkEnd w:id="14"/>
    </w:p>
    <w:p w14:paraId="22F1CE05" w14:textId="1EF2BC25" w:rsidR="00D67523" w:rsidRPr="00E4449B" w:rsidRDefault="00D67523" w:rsidP="00D67523">
      <w:pPr>
        <w:rPr>
          <w:lang w:eastAsia="en-US"/>
        </w:rPr>
      </w:pPr>
      <w:r w:rsidRPr="00E4449B">
        <w:rPr>
          <w:lang w:eastAsia="en-US"/>
        </w:rPr>
        <w:t xml:space="preserve">The department continues to work to reframe the relationship between Aboriginal and Torres Strait Islander communities and the Queensland Government through the Path to Treaty, which will invest in new ways of working and partnering together. This reform is a historic opportunity to build a future of shared equality and prosperity for all Queenslanders through </w:t>
      </w:r>
      <w:r w:rsidR="007F6D12">
        <w:rPr>
          <w:lang w:eastAsia="en-US"/>
        </w:rPr>
        <w:t xml:space="preserve">the </w:t>
      </w:r>
      <w:r w:rsidRPr="00E4449B">
        <w:rPr>
          <w:lang w:eastAsia="en-US"/>
        </w:rPr>
        <w:t xml:space="preserve">key actions of treaty-making and truth-telling. </w:t>
      </w:r>
    </w:p>
    <w:p w14:paraId="31796265" w14:textId="25B4896F" w:rsidR="00D67523" w:rsidRPr="00C3396D" w:rsidRDefault="00D67523" w:rsidP="00D67523">
      <w:pPr>
        <w:rPr>
          <w:lang w:eastAsia="en-US"/>
        </w:rPr>
      </w:pPr>
      <w:bookmarkStart w:id="15" w:name="_Hlk78285185"/>
      <w:r w:rsidRPr="00E4449B">
        <w:rPr>
          <w:lang w:eastAsia="en-US"/>
        </w:rPr>
        <w:t xml:space="preserve">A non-statutory Treaty Advancement Committee (the Committee) has been established, as part of the </w:t>
      </w:r>
      <w:r w:rsidR="00C3396D">
        <w:rPr>
          <w:lang w:eastAsia="en-US"/>
        </w:rPr>
        <w:t>g</w:t>
      </w:r>
      <w:r w:rsidRPr="00E4449B">
        <w:rPr>
          <w:lang w:eastAsia="en-US"/>
        </w:rPr>
        <w:t xml:space="preserve">overnment's response to progress the Path to Treaty in partnership with Aboriginal peoples and Torres Strait Islander peoples, and will develop options and provide independent advice on how to progress treaty-making, </w:t>
      </w:r>
      <w:r w:rsidRPr="00C3396D">
        <w:rPr>
          <w:lang w:eastAsia="en-US"/>
        </w:rPr>
        <w:t>building on the work done by the former Eminent Panel and Treaty Working Group.</w:t>
      </w:r>
    </w:p>
    <w:bookmarkEnd w:id="15"/>
    <w:p w14:paraId="18C08899" w14:textId="7E4E34DB" w:rsidR="00D67523" w:rsidRPr="00E4449B" w:rsidRDefault="00D67523" w:rsidP="00D67523">
      <w:pPr>
        <w:rPr>
          <w:lang w:eastAsia="en-US"/>
        </w:rPr>
      </w:pPr>
      <w:r w:rsidRPr="00C3396D">
        <w:rPr>
          <w:lang w:eastAsia="en-US"/>
        </w:rPr>
        <w:t>Committee members include former members of the Eminent Panel (Dr Jackie Huggins</w:t>
      </w:r>
      <w:r w:rsidR="007F6D12" w:rsidRPr="00C3396D">
        <w:rPr>
          <w:lang w:eastAsia="en-US"/>
        </w:rPr>
        <w:t xml:space="preserve"> AM</w:t>
      </w:r>
      <w:r w:rsidRPr="00C3396D">
        <w:rPr>
          <w:lang w:eastAsia="en-US"/>
        </w:rPr>
        <w:t xml:space="preserve">, Mr Michael </w:t>
      </w:r>
      <w:proofErr w:type="spellStart"/>
      <w:r w:rsidRPr="00C3396D">
        <w:rPr>
          <w:lang w:eastAsia="en-US"/>
        </w:rPr>
        <w:t>Gooda</w:t>
      </w:r>
      <w:proofErr w:type="spellEnd"/>
      <w:r w:rsidRPr="00C3396D">
        <w:rPr>
          <w:lang w:eastAsia="en-US"/>
        </w:rPr>
        <w:t xml:space="preserve">, Dr Josephine Bourne and </w:t>
      </w:r>
      <w:r w:rsidR="007F6D12" w:rsidRPr="00C3396D">
        <w:rPr>
          <w:lang w:eastAsia="en-US"/>
        </w:rPr>
        <w:t xml:space="preserve">Emeritus </w:t>
      </w:r>
      <w:r w:rsidRPr="00C3396D">
        <w:rPr>
          <w:lang w:eastAsia="en-US"/>
        </w:rPr>
        <w:t xml:space="preserve">Professor Michael </w:t>
      </w:r>
      <w:proofErr w:type="spellStart"/>
      <w:r w:rsidRPr="00C3396D">
        <w:rPr>
          <w:lang w:eastAsia="en-US"/>
        </w:rPr>
        <w:t>Lavarch</w:t>
      </w:r>
      <w:proofErr w:type="spellEnd"/>
      <w:r w:rsidRPr="00C3396D">
        <w:rPr>
          <w:lang w:eastAsia="en-US"/>
        </w:rPr>
        <w:t xml:space="preserve"> AO) for continuity of expertise and insight, and </w:t>
      </w:r>
      <w:r w:rsidR="007F6D12" w:rsidRPr="00C3396D">
        <w:rPr>
          <w:lang w:eastAsia="en-US"/>
        </w:rPr>
        <w:t>Ms</w:t>
      </w:r>
      <w:r w:rsidRPr="00C3396D">
        <w:rPr>
          <w:lang w:eastAsia="en-US"/>
        </w:rPr>
        <w:t xml:space="preserve"> Sallyanne Atkinson AO.</w:t>
      </w:r>
    </w:p>
    <w:p w14:paraId="2D450922" w14:textId="77777777" w:rsidR="00D67523" w:rsidRPr="003B3D1E" w:rsidRDefault="00D67523" w:rsidP="00D21656">
      <w:pPr>
        <w:pStyle w:val="Heading4"/>
      </w:pPr>
      <w:r w:rsidRPr="003B3D1E">
        <w:t>Key achievements</w:t>
      </w:r>
    </w:p>
    <w:p w14:paraId="4C7C35FE" w14:textId="77777777" w:rsidR="00D67523" w:rsidRPr="00E4449B" w:rsidRDefault="00D67523" w:rsidP="00D83B53">
      <w:pPr>
        <w:rPr>
          <w:rFonts w:eastAsia="Calibri"/>
          <w:lang w:val="en-US" w:eastAsia="en-US"/>
        </w:rPr>
      </w:pPr>
      <w:r w:rsidRPr="00E4449B">
        <w:rPr>
          <w:rFonts w:eastAsia="Calibri"/>
          <w:lang w:val="en-US" w:eastAsia="en-US"/>
        </w:rPr>
        <w:t>During the reporting period, the department:</w:t>
      </w:r>
    </w:p>
    <w:p w14:paraId="5430268A" w14:textId="77777777" w:rsidR="00D67523" w:rsidRPr="00D83B53" w:rsidRDefault="00D67523" w:rsidP="00D83B53">
      <w:pPr>
        <w:pStyle w:val="ListBullet"/>
        <w:rPr>
          <w:rFonts w:eastAsia="Calibri"/>
        </w:rPr>
      </w:pPr>
      <w:r w:rsidRPr="00D83B53">
        <w:rPr>
          <w:rFonts w:eastAsia="Calibri"/>
        </w:rPr>
        <w:t>established the Treaty Advancement Committee to advance the Path to Treaty process with Aboriginal peoples and Torres Strait Islander peoples and provide expert advice and guidance to the Queensland Government on options to advance the treaty process</w:t>
      </w:r>
    </w:p>
    <w:p w14:paraId="56437118" w14:textId="77777777" w:rsidR="00D67523" w:rsidRPr="00D83B53" w:rsidRDefault="00D67523" w:rsidP="00D83B53">
      <w:pPr>
        <w:pStyle w:val="ListBullet"/>
        <w:rPr>
          <w:rFonts w:eastAsia="Calibri"/>
        </w:rPr>
      </w:pPr>
      <w:r w:rsidRPr="00D83B53">
        <w:rPr>
          <w:rFonts w:eastAsia="Calibri"/>
        </w:rPr>
        <w:t>continued to progress the Path to Treaty journey by supporting the Treaty Advancement Committee to engage with experts and communities across Queensland to inform the Committee’s Final Report expected later this year</w:t>
      </w:r>
    </w:p>
    <w:p w14:paraId="7456944F" w14:textId="26F445F6" w:rsidR="00D67523" w:rsidRPr="00D83B53" w:rsidRDefault="001C6D95" w:rsidP="00D83B53">
      <w:pPr>
        <w:pStyle w:val="ListBullet"/>
        <w:rPr>
          <w:rFonts w:eastAsia="Calibri"/>
        </w:rPr>
      </w:pPr>
      <w:bookmarkStart w:id="16" w:name="_Hlk78285156"/>
      <w:r w:rsidRPr="00D83B53">
        <w:rPr>
          <w:rFonts w:eastAsia="Calibri"/>
        </w:rPr>
        <w:t>supported the establishment of</w:t>
      </w:r>
      <w:r w:rsidR="00D67523" w:rsidRPr="00D83B53">
        <w:rPr>
          <w:rFonts w:eastAsia="Calibri"/>
        </w:rPr>
        <w:t xml:space="preserve"> a $300 million Path to Treaty Fund, as part of the </w:t>
      </w:r>
      <w:r w:rsidR="001E5C6A" w:rsidRPr="00D83B53">
        <w:rPr>
          <w:rFonts w:eastAsia="Calibri"/>
        </w:rPr>
        <w:t>2021-2022</w:t>
      </w:r>
      <w:r w:rsidR="00D67523" w:rsidRPr="00D83B53">
        <w:rPr>
          <w:rFonts w:eastAsia="Calibri"/>
        </w:rPr>
        <w:t xml:space="preserve"> Budget, with the returns from the fund to be used to support Queensland’s Path to Treaty</w:t>
      </w:r>
      <w:bookmarkEnd w:id="16"/>
      <w:r w:rsidR="00D67523" w:rsidRPr="00D83B53">
        <w:rPr>
          <w:rFonts w:eastAsia="Calibri"/>
        </w:rPr>
        <w:t>.</w:t>
      </w:r>
    </w:p>
    <w:p w14:paraId="38849ECC" w14:textId="77777777" w:rsidR="00D67523" w:rsidRPr="00E4449B" w:rsidRDefault="00D67523" w:rsidP="00D83B53">
      <w:pPr>
        <w:pStyle w:val="Heading3"/>
      </w:pPr>
      <w:bookmarkStart w:id="17" w:name="_Toc78287367"/>
      <w:bookmarkStart w:id="18" w:name="_Toc78355774"/>
      <w:r w:rsidRPr="00E4449B">
        <w:t>Indigenous Voice</w:t>
      </w:r>
      <w:bookmarkEnd w:id="17"/>
      <w:bookmarkEnd w:id="18"/>
      <w:r w:rsidRPr="00E4449B">
        <w:t xml:space="preserve"> </w:t>
      </w:r>
    </w:p>
    <w:p w14:paraId="52CCDAF0" w14:textId="143D6583" w:rsidR="00D67523" w:rsidRPr="00E4449B" w:rsidRDefault="00D67523" w:rsidP="00D83B53">
      <w:r w:rsidRPr="00E4449B">
        <w:t>The department continues to be actively engaged in the Commonwealth Government’s Indigenous Voice Co-Design process</w:t>
      </w:r>
      <w:r w:rsidR="00B51B90">
        <w:t>,</w:t>
      </w:r>
      <w:r w:rsidRPr="00E4449B">
        <w:t xml:space="preserve"> which seeks to provide Aboriginal and Torres Strait Islander people with a greater say on laws, policies and services that impact them and their lives. </w:t>
      </w:r>
    </w:p>
    <w:p w14:paraId="17F8196F" w14:textId="5D4EEA83" w:rsidR="00D67523" w:rsidRPr="00E4449B" w:rsidRDefault="00D67523" w:rsidP="00D83B53">
      <w:r w:rsidRPr="00E4449B">
        <w:t xml:space="preserve">On 9 January 2021, the Commonwealth Government released </w:t>
      </w:r>
      <w:r w:rsidRPr="00E4449B">
        <w:rPr>
          <w:i/>
          <w:iCs/>
        </w:rPr>
        <w:t>the Indigenous Voice Co-Design Interim Report</w:t>
      </w:r>
      <w:r w:rsidRPr="00E4449B">
        <w:t xml:space="preserve"> which provides proposed models for a National Voice,</w:t>
      </w:r>
      <w:r w:rsidR="007F6D12">
        <w:t xml:space="preserve"> and a</w:t>
      </w:r>
      <w:r w:rsidRPr="00E4449B">
        <w:t xml:space="preserve"> Local and Regional Voice</w:t>
      </w:r>
      <w:r w:rsidR="007F6D12">
        <w:t>,</w:t>
      </w:r>
      <w:r w:rsidRPr="00E4449B">
        <w:t xml:space="preserve"> with a final report expected from the Commonwealth in the second half of 2021. </w:t>
      </w:r>
    </w:p>
    <w:p w14:paraId="23F46E8C" w14:textId="749C6A18" w:rsidR="00D67523" w:rsidRPr="00E4449B" w:rsidRDefault="00D67523" w:rsidP="00D83B53">
      <w:r w:rsidRPr="00E4449B">
        <w:t xml:space="preserve">The department provided a whole-of-government response to the </w:t>
      </w:r>
      <w:r w:rsidR="00B51B90">
        <w:t>i</w:t>
      </w:r>
      <w:r w:rsidRPr="00E4449B">
        <w:t xml:space="preserve">nterim </w:t>
      </w:r>
      <w:r w:rsidR="00B51B90">
        <w:t>r</w:t>
      </w:r>
      <w:r w:rsidRPr="00E4449B">
        <w:t xml:space="preserve">eport in May 2021. The response aligns with the </w:t>
      </w:r>
      <w:r w:rsidRPr="00B51B90">
        <w:rPr>
          <w:i/>
          <w:iCs/>
        </w:rPr>
        <w:t>Statement of Commitment to reframe the relationship between the Queensland Government and First Nations Queenslanders</w:t>
      </w:r>
      <w:r w:rsidRPr="00E4449B">
        <w:t xml:space="preserve"> and notes further co-design work will occur with Aboriginal and Torres Strait Islander Queenslanders to select the preferred model for Queensland, informed by a range of existing Queensland Government reforms such as Path to Treaty and Local Thriving Communities. </w:t>
      </w:r>
    </w:p>
    <w:p w14:paraId="7341C5AD" w14:textId="77777777" w:rsidR="00D67523" w:rsidRPr="00E4449B" w:rsidRDefault="00D67523" w:rsidP="00D21656">
      <w:pPr>
        <w:pStyle w:val="Heading4"/>
      </w:pPr>
      <w:r w:rsidRPr="00E4449B">
        <w:t xml:space="preserve">Key achievements </w:t>
      </w:r>
    </w:p>
    <w:p w14:paraId="3D496F5D" w14:textId="77777777" w:rsidR="00D67523" w:rsidRPr="00E4449B" w:rsidRDefault="00D67523" w:rsidP="00D67523">
      <w:pPr>
        <w:spacing w:after="120"/>
        <w:rPr>
          <w:bCs/>
          <w:lang w:eastAsia="en-US"/>
        </w:rPr>
      </w:pPr>
      <w:r w:rsidRPr="00E4449B">
        <w:rPr>
          <w:bCs/>
          <w:lang w:eastAsia="en-US"/>
        </w:rPr>
        <w:t>During the reporting period, the department:</w:t>
      </w:r>
    </w:p>
    <w:p w14:paraId="454223D1" w14:textId="77777777" w:rsidR="00D67523" w:rsidRPr="00D83B53" w:rsidRDefault="00D67523" w:rsidP="00D83B53">
      <w:pPr>
        <w:pStyle w:val="ListBullet"/>
        <w:rPr>
          <w:rFonts w:eastAsia="Calibri"/>
        </w:rPr>
      </w:pPr>
      <w:r w:rsidRPr="00D83B53">
        <w:rPr>
          <w:rFonts w:eastAsia="Calibri"/>
        </w:rPr>
        <w:t xml:space="preserve">publicly released a Queensland Government response to the Commonwealth </w:t>
      </w:r>
      <w:r w:rsidRPr="007F6D12">
        <w:rPr>
          <w:rFonts w:eastAsia="Calibri"/>
          <w:i/>
          <w:iCs/>
        </w:rPr>
        <w:t>Government’s Indigenous Voice Co-Design Process Interim Report</w:t>
      </w:r>
      <w:r w:rsidRPr="00D83B53">
        <w:rPr>
          <w:rFonts w:eastAsia="Calibri"/>
        </w:rPr>
        <w:t xml:space="preserve"> in May 2021 </w:t>
      </w:r>
    </w:p>
    <w:p w14:paraId="1564EB62" w14:textId="1C18FE68" w:rsidR="00D67523" w:rsidRPr="00D83B53" w:rsidRDefault="00D67523" w:rsidP="00D83B53">
      <w:pPr>
        <w:pStyle w:val="ListBullet"/>
        <w:rPr>
          <w:rFonts w:eastAsia="Calibri"/>
        </w:rPr>
      </w:pPr>
      <w:r w:rsidRPr="00D83B53">
        <w:rPr>
          <w:rFonts w:eastAsia="Calibri"/>
        </w:rPr>
        <w:lastRenderedPageBreak/>
        <w:t xml:space="preserve">actively participated on the </w:t>
      </w:r>
      <w:r w:rsidRPr="00D83B53">
        <w:t xml:space="preserve">Senior Officials Group to ensure that the Commonwealth’s Indigenous Voice co-design process advances with consideration </w:t>
      </w:r>
      <w:r w:rsidR="007F6D12">
        <w:t>to the</w:t>
      </w:r>
      <w:r w:rsidRPr="00D83B53">
        <w:t xml:space="preserve"> Queensland Government reforms.</w:t>
      </w:r>
    </w:p>
    <w:p w14:paraId="05B7C616" w14:textId="77777777" w:rsidR="00C51AD7" w:rsidRPr="00E4449B" w:rsidRDefault="00C51AD7" w:rsidP="007524AB">
      <w:pPr>
        <w:pStyle w:val="Heading3"/>
      </w:pPr>
      <w:bookmarkStart w:id="19" w:name="_Toc78287364"/>
      <w:bookmarkStart w:id="20" w:name="_Toc78355771"/>
      <w:r w:rsidRPr="00E4449B">
        <w:t>Working with the Welfare Reform communities</w:t>
      </w:r>
      <w:bookmarkEnd w:id="19"/>
      <w:bookmarkEnd w:id="20"/>
      <w:r w:rsidRPr="00E4449B">
        <w:t xml:space="preserve"> </w:t>
      </w:r>
    </w:p>
    <w:p w14:paraId="7636FE53" w14:textId="77777777" w:rsidR="00C51AD7" w:rsidRPr="00E4449B" w:rsidRDefault="00C51AD7" w:rsidP="00C51AD7">
      <w:pPr>
        <w:widowControl w:val="0"/>
        <w:autoSpaceDE w:val="0"/>
        <w:autoSpaceDN w:val="0"/>
        <w:adjustRightInd w:val="0"/>
        <w:ind w:right="181"/>
        <w:outlineLvl w:val="6"/>
        <w:rPr>
          <w:lang w:eastAsia="en-US"/>
        </w:rPr>
      </w:pPr>
      <w:r w:rsidRPr="00E4449B">
        <w:rPr>
          <w:lang w:eastAsia="en-US"/>
        </w:rPr>
        <w:t>The department continues to work with Queensland's five Welfare Reform communities of Aurukun, Coen, Doomadgee, Hope Vale and Mossman Gorge to build on community achievements and successes to date and build local Aboriginal and Torres Strait Islander authority and governance to support communities.</w:t>
      </w:r>
    </w:p>
    <w:p w14:paraId="3A1C8515" w14:textId="79B1498A" w:rsidR="00C51AD7" w:rsidRPr="00E4449B" w:rsidRDefault="00C51AD7" w:rsidP="00C51AD7">
      <w:pPr>
        <w:rPr>
          <w:lang w:eastAsia="en-US"/>
        </w:rPr>
      </w:pPr>
      <w:r w:rsidRPr="00E4449B">
        <w:rPr>
          <w:lang w:eastAsia="en-US"/>
        </w:rPr>
        <w:t xml:space="preserve">The department works with the Queensland Government’s Welfare Reform partners, the Commonwealth Government and Cape York Institute, to support the Family Responsibilities Commission (FRC) to help improve life outcomes for First Nations people in the Welfare Reform communities. The </w:t>
      </w:r>
      <w:r w:rsidR="00E74CA6" w:rsidRPr="00E4449B">
        <w:rPr>
          <w:lang w:eastAsia="en-US"/>
        </w:rPr>
        <w:t>Family Responsibilities Commission</w:t>
      </w:r>
      <w:r w:rsidRPr="00E4449B">
        <w:rPr>
          <w:lang w:eastAsia="en-US"/>
        </w:rPr>
        <w:t xml:space="preserve"> is jointly </w:t>
      </w:r>
      <w:r w:rsidRPr="00E4449B">
        <w:t>funded by the Queensland and Commonwealth Governments under a Memorandum of Understanding.</w:t>
      </w:r>
      <w:r w:rsidRPr="00E4449B">
        <w:rPr>
          <w:lang w:eastAsia="en-US"/>
        </w:rPr>
        <w:t xml:space="preserve"> </w:t>
      </w:r>
    </w:p>
    <w:p w14:paraId="6BCC3750" w14:textId="3D8B26E0" w:rsidR="00E86FF9" w:rsidRPr="00E4449B" w:rsidRDefault="00E86FF9" w:rsidP="00D21656">
      <w:pPr>
        <w:pStyle w:val="Heading4"/>
      </w:pPr>
      <w:r w:rsidRPr="00E4449B">
        <w:t>Key achievements</w:t>
      </w:r>
    </w:p>
    <w:p w14:paraId="1472E516" w14:textId="0F7D69DC" w:rsidR="00E86FF9" w:rsidRPr="00E4449B" w:rsidRDefault="00E86FF9" w:rsidP="00A06383">
      <w:pPr>
        <w:spacing w:after="120"/>
        <w:rPr>
          <w:lang w:eastAsia="en-US"/>
        </w:rPr>
      </w:pPr>
      <w:r w:rsidRPr="00E4449B">
        <w:rPr>
          <w:lang w:eastAsia="en-US"/>
        </w:rPr>
        <w:t>During the reporting period, the department</w:t>
      </w:r>
      <w:r w:rsidR="003C235A" w:rsidRPr="00E4449B">
        <w:rPr>
          <w:lang w:eastAsia="en-US"/>
        </w:rPr>
        <w:t>:</w:t>
      </w:r>
    </w:p>
    <w:p w14:paraId="38A67D38" w14:textId="159FEF95" w:rsidR="00C51AD7" w:rsidRPr="00D83B53" w:rsidRDefault="00C51AD7" w:rsidP="00D83B53">
      <w:pPr>
        <w:pStyle w:val="ListBullet"/>
      </w:pPr>
      <w:r w:rsidRPr="00D83B53">
        <w:t xml:space="preserve">continued to support the operation of the </w:t>
      </w:r>
      <w:r w:rsidR="00E74CA6" w:rsidRPr="00D83B53">
        <w:t xml:space="preserve">Family Responsibilities Commission </w:t>
      </w:r>
      <w:r w:rsidRPr="00D83B53">
        <w:t xml:space="preserve">to ensure Local Commissioners in the Welfare Reform communities could continue to support </w:t>
      </w:r>
      <w:r w:rsidR="00E74CA6" w:rsidRPr="00D83B53">
        <w:t>F</w:t>
      </w:r>
      <w:r w:rsidR="00B51B90">
        <w:t>RC</w:t>
      </w:r>
      <w:r w:rsidR="00E74CA6" w:rsidRPr="00D83B53">
        <w:t xml:space="preserve"> </w:t>
      </w:r>
      <w:r w:rsidRPr="00D83B53">
        <w:t>clients</w:t>
      </w:r>
    </w:p>
    <w:p w14:paraId="661E92CD" w14:textId="720467F9" w:rsidR="00C51AD7" w:rsidRPr="00D83B53" w:rsidRDefault="00C51AD7" w:rsidP="00D83B53">
      <w:pPr>
        <w:pStyle w:val="ListBullet"/>
      </w:pPr>
      <w:r w:rsidRPr="00D83B53">
        <w:t>provided secretariat support to the Family Responsibilities Board (FRB)</w:t>
      </w:r>
    </w:p>
    <w:p w14:paraId="11693DCE" w14:textId="19D2495B" w:rsidR="00634730" w:rsidRPr="00D83B53" w:rsidRDefault="00C51AD7" w:rsidP="00D83B53">
      <w:pPr>
        <w:pStyle w:val="ListBullet"/>
      </w:pPr>
      <w:r w:rsidRPr="00D83B53">
        <w:t xml:space="preserve">facilitated the significant appointments made by the Governor in Council to the </w:t>
      </w:r>
      <w:r w:rsidR="00B51B90">
        <w:t xml:space="preserve">FRC and </w:t>
      </w:r>
      <w:r w:rsidR="00E74CA6" w:rsidRPr="00D83B53">
        <w:t>FR</w:t>
      </w:r>
      <w:r w:rsidR="00B51B90">
        <w:t>B</w:t>
      </w:r>
      <w:r w:rsidRPr="00D83B53">
        <w:t>.</w:t>
      </w:r>
    </w:p>
    <w:p w14:paraId="68D70E82" w14:textId="663FC3DA" w:rsidR="005E5AD9" w:rsidRPr="00D83B53" w:rsidRDefault="005E5AD9" w:rsidP="00D83B53">
      <w:pPr>
        <w:pStyle w:val="Heading3"/>
      </w:pPr>
      <w:bookmarkStart w:id="21" w:name="_Toc78287365"/>
      <w:bookmarkStart w:id="22" w:name="_Toc78355772"/>
      <w:bookmarkStart w:id="23" w:name="_Hlk78185754"/>
      <w:r w:rsidRPr="00D83B53">
        <w:t>Implementing the new National Agreement on Closing the Gap</w:t>
      </w:r>
      <w:bookmarkEnd w:id="21"/>
      <w:bookmarkEnd w:id="22"/>
    </w:p>
    <w:p w14:paraId="37A15601" w14:textId="283944AD" w:rsidR="0002730C" w:rsidRPr="00E4449B" w:rsidRDefault="0002730C" w:rsidP="00D83B53">
      <w:pPr>
        <w:rPr>
          <w:lang w:eastAsia="en-US"/>
        </w:rPr>
      </w:pPr>
      <w:r w:rsidRPr="00E4449B">
        <w:rPr>
          <w:lang w:eastAsia="en-US"/>
        </w:rPr>
        <w:t xml:space="preserve">The department is contributing to the development of the national Strategic Plan to inform the expenditure of Queensland's $9.3 million </w:t>
      </w:r>
      <w:r w:rsidR="00FC73DF" w:rsidRPr="00E4449B">
        <w:rPr>
          <w:lang w:eastAsia="en-US"/>
        </w:rPr>
        <w:t>allocation</w:t>
      </w:r>
      <w:r w:rsidRPr="00E4449B">
        <w:rPr>
          <w:lang w:eastAsia="en-US"/>
        </w:rPr>
        <w:t xml:space="preserve"> to support</w:t>
      </w:r>
      <w:r w:rsidR="00FC73DF" w:rsidRPr="00E4449B">
        <w:rPr>
          <w:lang w:eastAsia="en-US"/>
        </w:rPr>
        <w:t xml:space="preserve"> community-led priorities under</w:t>
      </w:r>
      <w:r w:rsidRPr="00E4449B">
        <w:rPr>
          <w:lang w:eastAsia="en-US"/>
        </w:rPr>
        <w:t xml:space="preserve"> the </w:t>
      </w:r>
      <w:r w:rsidRPr="000153F9">
        <w:rPr>
          <w:i/>
          <w:iCs/>
          <w:lang w:eastAsia="en-US"/>
        </w:rPr>
        <w:t xml:space="preserve">National Agreement on Closing the Gap </w:t>
      </w:r>
      <w:r w:rsidRPr="00E4449B">
        <w:rPr>
          <w:lang w:eastAsia="en-US"/>
        </w:rPr>
        <w:t>and co-designing</w:t>
      </w:r>
      <w:r w:rsidR="001B702B" w:rsidRPr="00E4449B">
        <w:rPr>
          <w:lang w:eastAsia="en-US"/>
        </w:rPr>
        <w:t xml:space="preserve"> and driving changes through</w:t>
      </w:r>
      <w:r w:rsidRPr="00E4449B">
        <w:rPr>
          <w:lang w:eastAsia="en-US"/>
        </w:rPr>
        <w:t xml:space="preserve"> the Queensland Closing the Gap </w:t>
      </w:r>
      <w:r w:rsidR="001B702B" w:rsidRPr="00E4449B">
        <w:rPr>
          <w:lang w:eastAsia="en-US"/>
        </w:rPr>
        <w:t>Implementation</w:t>
      </w:r>
      <w:r w:rsidRPr="00E4449B">
        <w:rPr>
          <w:lang w:eastAsia="en-US"/>
        </w:rPr>
        <w:t xml:space="preserve"> Plan.</w:t>
      </w:r>
    </w:p>
    <w:p w14:paraId="601D5A65" w14:textId="020AD06E" w:rsidR="005E5AD9" w:rsidRPr="00E4449B" w:rsidRDefault="005E5AD9" w:rsidP="00D83B53">
      <w:pPr>
        <w:rPr>
          <w:lang w:eastAsia="en-US"/>
        </w:rPr>
      </w:pPr>
      <w:r w:rsidRPr="00E4449B">
        <w:rPr>
          <w:lang w:eastAsia="en-US"/>
        </w:rPr>
        <w:t xml:space="preserve">The </w:t>
      </w:r>
      <w:r w:rsidRPr="00E4449B">
        <w:rPr>
          <w:i/>
          <w:lang w:eastAsia="en-US"/>
        </w:rPr>
        <w:t>National Agreement on Closing the Gap</w:t>
      </w:r>
      <w:r w:rsidR="009D3CBA" w:rsidRPr="00E4449B">
        <w:rPr>
          <w:i/>
          <w:lang w:eastAsia="en-US"/>
        </w:rPr>
        <w:t xml:space="preserve"> </w:t>
      </w:r>
      <w:r w:rsidR="009D3CBA" w:rsidRPr="00E4449B">
        <w:rPr>
          <w:iCs/>
          <w:lang w:eastAsia="en-US"/>
        </w:rPr>
        <w:t>(National Agreement)</w:t>
      </w:r>
      <w:r w:rsidRPr="00E4449B">
        <w:rPr>
          <w:iCs/>
          <w:lang w:eastAsia="en-US"/>
        </w:rPr>
        <w:t>,</w:t>
      </w:r>
      <w:r w:rsidRPr="00E4449B">
        <w:rPr>
          <w:lang w:eastAsia="en-US"/>
        </w:rPr>
        <w:t xml:space="preserve"> signed by the Queensland Government, was launched on 30 July 2020. This is a key step in Queensland Government’s commitment towards a reframed relationship to ultimately close the gap in life outcomes between Aboriginal and Torres Strait Islander Queenslanders and non-Indigenous Queenslanders.</w:t>
      </w:r>
    </w:p>
    <w:p w14:paraId="6121BABE" w14:textId="77777777" w:rsidR="005E5AD9" w:rsidRPr="00E4449B" w:rsidRDefault="005E5AD9" w:rsidP="00D83B53">
      <w:pPr>
        <w:rPr>
          <w:lang w:eastAsia="en-US"/>
        </w:rPr>
      </w:pPr>
      <w:r w:rsidRPr="00E4449B">
        <w:rPr>
          <w:lang w:eastAsia="en-US"/>
        </w:rPr>
        <w:t>This is the first time a National Agreement has been developed and negotiated in genuine partnership with Aboriginal peoples and Torres Strait Islander peoples. At the heart of the Agreement is the principle to work and partner with Aboriginal peoples and Torres Strait Islander peoples in policy development and decision-making.</w:t>
      </w:r>
    </w:p>
    <w:p w14:paraId="580166EA" w14:textId="230B1581" w:rsidR="001B702B" w:rsidRPr="00E4449B" w:rsidRDefault="001B702B" w:rsidP="00D83B53">
      <w:pPr>
        <w:rPr>
          <w:lang w:eastAsia="en-US"/>
        </w:rPr>
      </w:pPr>
      <w:r w:rsidRPr="00E4449B">
        <w:rPr>
          <w:lang w:eastAsia="en-US"/>
        </w:rPr>
        <w:t xml:space="preserve">The National Agreement establishes four key priorities to achieve genuine partnership with communities across all levels of Government, strengthen community-controlled organisations, reduce systemic racism and inequity in Government services and ensure sharing of data at a regional level to inform future decisions. The number of socio-economic targets has increased from 7 to 17, with new targets </w:t>
      </w:r>
      <w:r w:rsidR="003C235A" w:rsidRPr="00E4449B">
        <w:rPr>
          <w:lang w:eastAsia="en-US"/>
        </w:rPr>
        <w:t>related to</w:t>
      </w:r>
      <w:r w:rsidRPr="00E4449B">
        <w:rPr>
          <w:lang w:eastAsia="en-US"/>
        </w:rPr>
        <w:t xml:space="preserve"> housing, employment, child protection, education, justice, languages, domestic and family violence, and land and waters.</w:t>
      </w:r>
    </w:p>
    <w:p w14:paraId="2E7399C5" w14:textId="6617334B" w:rsidR="0002730C" w:rsidRPr="00E4449B" w:rsidRDefault="005E5AD9" w:rsidP="00D83B53">
      <w:pPr>
        <w:rPr>
          <w:lang w:eastAsia="en-US"/>
        </w:rPr>
      </w:pPr>
      <w:r w:rsidRPr="00E4449B">
        <w:rPr>
          <w:lang w:eastAsia="en-US"/>
        </w:rPr>
        <w:t xml:space="preserve">The </w:t>
      </w:r>
      <w:r w:rsidR="001B702B" w:rsidRPr="00E4449B">
        <w:rPr>
          <w:lang w:eastAsia="en-US"/>
        </w:rPr>
        <w:t xml:space="preserve">National </w:t>
      </w:r>
      <w:r w:rsidRPr="00E4449B">
        <w:rPr>
          <w:lang w:eastAsia="en-US"/>
        </w:rPr>
        <w:t>Agreement commits governments to building the capability and capacity of the community-controlled sector, recognising that this is critical to improving life outcomes for Aboriginal peoples and Torres Strait Islander peoples</w:t>
      </w:r>
      <w:r w:rsidR="001B702B" w:rsidRPr="00E4449B">
        <w:rPr>
          <w:lang w:eastAsia="en-US"/>
        </w:rPr>
        <w:t xml:space="preserve"> by ensuring </w:t>
      </w:r>
      <w:r w:rsidR="003C235A" w:rsidRPr="00E4449B">
        <w:rPr>
          <w:lang w:eastAsia="en-US"/>
        </w:rPr>
        <w:t xml:space="preserve">that </w:t>
      </w:r>
      <w:r w:rsidR="001B702B" w:rsidRPr="00E4449B">
        <w:rPr>
          <w:lang w:eastAsia="en-US"/>
        </w:rPr>
        <w:t xml:space="preserve">self-determination and equity are </w:t>
      </w:r>
      <w:r w:rsidR="003C235A" w:rsidRPr="00E4449B">
        <w:rPr>
          <w:lang w:eastAsia="en-US"/>
        </w:rPr>
        <w:t xml:space="preserve">the </w:t>
      </w:r>
      <w:r w:rsidR="001B702B" w:rsidRPr="00E4449B">
        <w:rPr>
          <w:lang w:eastAsia="en-US"/>
        </w:rPr>
        <w:t>underpinning principles for driving change.</w:t>
      </w:r>
    </w:p>
    <w:p w14:paraId="4A5F6A80" w14:textId="042CA85E" w:rsidR="00D67523" w:rsidRPr="00E4449B" w:rsidRDefault="00D67523" w:rsidP="007524AB">
      <w:pPr>
        <w:pStyle w:val="Heading3"/>
      </w:pPr>
      <w:bookmarkStart w:id="24" w:name="_Toc78287395"/>
      <w:bookmarkStart w:id="25" w:name="_Toc78355802"/>
      <w:r w:rsidRPr="00E4449B">
        <w:t xml:space="preserve">Legal </w:t>
      </w:r>
      <w:r w:rsidR="001C6D95" w:rsidRPr="00E4449B">
        <w:t>r</w:t>
      </w:r>
      <w:r w:rsidRPr="00E4449B">
        <w:t>ecognition of Torres Strait Islander traditional child rearing practice</w:t>
      </w:r>
      <w:bookmarkEnd w:id="24"/>
      <w:bookmarkEnd w:id="25"/>
    </w:p>
    <w:p w14:paraId="4985998D" w14:textId="42CED370" w:rsidR="00D67523" w:rsidRPr="00E4449B" w:rsidRDefault="00D67523" w:rsidP="00D83B53">
      <w:pPr>
        <w:rPr>
          <w:lang w:eastAsia="en-US"/>
        </w:rPr>
      </w:pPr>
      <w:r w:rsidRPr="00E4449B">
        <w:rPr>
          <w:lang w:eastAsia="en-US"/>
        </w:rPr>
        <w:t xml:space="preserve">In 2020, the historic </w:t>
      </w:r>
      <w:proofErr w:type="spellStart"/>
      <w:r w:rsidRPr="00E4449B">
        <w:rPr>
          <w:i/>
          <w:iCs/>
          <w:lang w:eastAsia="en-US"/>
        </w:rPr>
        <w:t>Meriba</w:t>
      </w:r>
      <w:proofErr w:type="spellEnd"/>
      <w:r w:rsidRPr="00E4449B">
        <w:rPr>
          <w:i/>
          <w:iCs/>
          <w:lang w:eastAsia="en-US"/>
        </w:rPr>
        <w:t xml:space="preserve"> </w:t>
      </w:r>
      <w:proofErr w:type="spellStart"/>
      <w:r w:rsidRPr="00E4449B">
        <w:rPr>
          <w:i/>
          <w:iCs/>
          <w:lang w:eastAsia="en-US"/>
        </w:rPr>
        <w:t>Omasker</w:t>
      </w:r>
      <w:proofErr w:type="spellEnd"/>
      <w:r w:rsidRPr="00E4449B">
        <w:rPr>
          <w:i/>
          <w:iCs/>
          <w:lang w:eastAsia="en-US"/>
        </w:rPr>
        <w:t xml:space="preserve"> </w:t>
      </w:r>
      <w:proofErr w:type="spellStart"/>
      <w:r w:rsidRPr="00E4449B">
        <w:rPr>
          <w:i/>
          <w:iCs/>
          <w:lang w:eastAsia="en-US"/>
        </w:rPr>
        <w:t>Kaziw</w:t>
      </w:r>
      <w:proofErr w:type="spellEnd"/>
      <w:r w:rsidRPr="00E4449B">
        <w:rPr>
          <w:i/>
          <w:iCs/>
          <w:lang w:eastAsia="en-US"/>
        </w:rPr>
        <w:t xml:space="preserve"> </w:t>
      </w:r>
      <w:proofErr w:type="spellStart"/>
      <w:r w:rsidRPr="00E4449B">
        <w:rPr>
          <w:i/>
          <w:iCs/>
          <w:lang w:eastAsia="en-US"/>
        </w:rPr>
        <w:t>Kazipa</w:t>
      </w:r>
      <w:proofErr w:type="spellEnd"/>
      <w:r w:rsidRPr="00E4449B">
        <w:rPr>
          <w:i/>
          <w:iCs/>
          <w:lang w:eastAsia="en-US"/>
        </w:rPr>
        <w:t xml:space="preserve"> (Torres Strait Islander Traditional Child Rearing Practice) Act 2020</w:t>
      </w:r>
      <w:r w:rsidRPr="00E4449B">
        <w:rPr>
          <w:lang w:eastAsia="en-US"/>
        </w:rPr>
        <w:t xml:space="preserve"> was passed in Queensland Parliament. This Act, which is the first in Australia to include Torres Strait Islander languages in its title, provides legal recognition of Torres Strait Islander families continued use of tradition</w:t>
      </w:r>
      <w:r w:rsidR="002E7B9F" w:rsidRPr="00E4449B">
        <w:rPr>
          <w:lang w:eastAsia="en-US"/>
        </w:rPr>
        <w:t>al</w:t>
      </w:r>
      <w:r w:rsidRPr="00E4449B">
        <w:rPr>
          <w:lang w:eastAsia="en-US"/>
        </w:rPr>
        <w:t xml:space="preserve"> child rearing practice.</w:t>
      </w:r>
    </w:p>
    <w:p w14:paraId="25608307" w14:textId="77777777" w:rsidR="00D67523" w:rsidRPr="00E4449B" w:rsidRDefault="00D67523" w:rsidP="00D83B53">
      <w:pPr>
        <w:rPr>
          <w:lang w:eastAsia="en-US"/>
        </w:rPr>
      </w:pPr>
      <w:r w:rsidRPr="00E4449B">
        <w:rPr>
          <w:lang w:eastAsia="en-US"/>
        </w:rPr>
        <w:t>The Act establishes a process for Torres Strait Islander families to make an application for legal recognition. The Commissioner (</w:t>
      </w:r>
      <w:proofErr w:type="spellStart"/>
      <w:r w:rsidRPr="00E4449B">
        <w:rPr>
          <w:lang w:eastAsia="en-US"/>
        </w:rPr>
        <w:t>Meriba</w:t>
      </w:r>
      <w:proofErr w:type="spellEnd"/>
      <w:r w:rsidRPr="00E4449B">
        <w:rPr>
          <w:lang w:eastAsia="en-US"/>
        </w:rPr>
        <w:t xml:space="preserve"> </w:t>
      </w:r>
      <w:proofErr w:type="spellStart"/>
      <w:r w:rsidRPr="00E4449B">
        <w:rPr>
          <w:lang w:eastAsia="en-US"/>
        </w:rPr>
        <w:t>Omasker</w:t>
      </w:r>
      <w:proofErr w:type="spellEnd"/>
      <w:r w:rsidRPr="00E4449B">
        <w:rPr>
          <w:lang w:eastAsia="en-US"/>
        </w:rPr>
        <w:t xml:space="preserve"> </w:t>
      </w:r>
      <w:proofErr w:type="spellStart"/>
      <w:r w:rsidRPr="00E4449B">
        <w:rPr>
          <w:lang w:eastAsia="en-US"/>
        </w:rPr>
        <w:t>Kaziw</w:t>
      </w:r>
      <w:proofErr w:type="spellEnd"/>
      <w:r w:rsidRPr="00E4449B">
        <w:rPr>
          <w:lang w:eastAsia="en-US"/>
        </w:rPr>
        <w:t xml:space="preserve"> </w:t>
      </w:r>
      <w:proofErr w:type="spellStart"/>
      <w:r w:rsidRPr="00E4449B">
        <w:rPr>
          <w:lang w:eastAsia="en-US"/>
        </w:rPr>
        <w:t>Kazipa</w:t>
      </w:r>
      <w:proofErr w:type="spellEnd"/>
      <w:r w:rsidRPr="00E4449B">
        <w:rPr>
          <w:lang w:eastAsia="en-US"/>
        </w:rPr>
        <w:t>) will be responsible for independently considering applications for legal recognition of traditional child rearing practice and making Cultural Recognition Orders.</w:t>
      </w:r>
    </w:p>
    <w:p w14:paraId="028F5DFE" w14:textId="082FB62E" w:rsidR="00D67523" w:rsidRPr="00E4449B" w:rsidRDefault="00D67523" w:rsidP="00D83B53">
      <w:pPr>
        <w:rPr>
          <w:lang w:eastAsia="en-US"/>
        </w:rPr>
      </w:pPr>
      <w:r w:rsidRPr="00E4449B">
        <w:rPr>
          <w:lang w:eastAsia="en-US"/>
        </w:rPr>
        <w:lastRenderedPageBreak/>
        <w:t>The granting of a Cultural Recognition Order will transfer parental rights and responsibilities from the birth parents to the cultural parents, enabling cultural parents the ability to make parental decisions about their child. The Cultural Recognition Order will also facilitate the issuing of a new birth certificate which will help to resolve longstanding issues faced by Torres Strait Islanders whose legal identity does not reflect their cultural identity and lived experience.</w:t>
      </w:r>
    </w:p>
    <w:p w14:paraId="51158076" w14:textId="328EB431" w:rsidR="00D67523" w:rsidRPr="003B3D1E" w:rsidRDefault="00D67523" w:rsidP="00D21656">
      <w:pPr>
        <w:pStyle w:val="Heading4"/>
      </w:pPr>
      <w:r w:rsidRPr="003B3D1E">
        <w:t>Key achievements</w:t>
      </w:r>
    </w:p>
    <w:p w14:paraId="2B52DE31" w14:textId="2E0486EE" w:rsidR="00D67523" w:rsidRPr="00E4449B" w:rsidRDefault="00D67523" w:rsidP="00D83B53">
      <w:pPr>
        <w:rPr>
          <w:bCs/>
          <w:color w:val="414042"/>
          <w:spacing w:val="-2"/>
        </w:rPr>
      </w:pPr>
      <w:r w:rsidRPr="00E4449B">
        <w:rPr>
          <w:lang w:eastAsia="en-US"/>
        </w:rPr>
        <w:t>During the reporting period</w:t>
      </w:r>
      <w:r w:rsidRPr="00E4449B">
        <w:rPr>
          <w:bCs/>
          <w:color w:val="414042"/>
          <w:spacing w:val="-2"/>
        </w:rPr>
        <w:t>, the department:</w:t>
      </w:r>
    </w:p>
    <w:p w14:paraId="40EE08A2" w14:textId="26FB82FF" w:rsidR="00D67523" w:rsidRPr="00E4449B" w:rsidRDefault="002A1D7A" w:rsidP="003B3D1E">
      <w:pPr>
        <w:pStyle w:val="ListBullet"/>
      </w:pPr>
      <w:r w:rsidRPr="00E4449B">
        <w:t>supported the</w:t>
      </w:r>
      <w:r w:rsidR="00D67523" w:rsidRPr="00E4449B">
        <w:t xml:space="preserve"> passage of the Bill in September 2020</w:t>
      </w:r>
    </w:p>
    <w:p w14:paraId="06CE1090" w14:textId="4E302BC6" w:rsidR="00D67523" w:rsidRPr="00E4449B" w:rsidRDefault="00D67523" w:rsidP="003B3D1E">
      <w:pPr>
        <w:pStyle w:val="ListBullet"/>
      </w:pPr>
      <w:r w:rsidRPr="00E4449B">
        <w:t xml:space="preserve">established the </w:t>
      </w:r>
      <w:proofErr w:type="spellStart"/>
      <w:r w:rsidRPr="00E4449B">
        <w:t>Meriba</w:t>
      </w:r>
      <w:proofErr w:type="spellEnd"/>
      <w:r w:rsidRPr="00E4449B">
        <w:t xml:space="preserve"> </w:t>
      </w:r>
      <w:proofErr w:type="spellStart"/>
      <w:r w:rsidRPr="00E4449B">
        <w:t>Omasker</w:t>
      </w:r>
      <w:proofErr w:type="spellEnd"/>
      <w:r w:rsidRPr="00E4449B">
        <w:t xml:space="preserve"> </w:t>
      </w:r>
      <w:proofErr w:type="spellStart"/>
      <w:r w:rsidRPr="00E4449B">
        <w:t>Kaziw</w:t>
      </w:r>
      <w:proofErr w:type="spellEnd"/>
      <w:r w:rsidRPr="00E4449B">
        <w:t xml:space="preserve"> </w:t>
      </w:r>
      <w:proofErr w:type="spellStart"/>
      <w:r w:rsidRPr="00E4449B">
        <w:t>Kazipa</w:t>
      </w:r>
      <w:proofErr w:type="spellEnd"/>
      <w:r w:rsidRPr="00E4449B">
        <w:t xml:space="preserve"> Implementation Team to support the establishment and implementation of operational requirements to facilitate the legal recognition application process</w:t>
      </w:r>
    </w:p>
    <w:p w14:paraId="2A5E1265" w14:textId="56B3BF41" w:rsidR="00D67523" w:rsidRPr="00E4449B" w:rsidRDefault="00D67523" w:rsidP="003B3D1E">
      <w:pPr>
        <w:pStyle w:val="ListBullet"/>
      </w:pPr>
      <w:r w:rsidRPr="00E4449B">
        <w:t>facilitated the appointment of the inaugural Commissioner (</w:t>
      </w:r>
      <w:proofErr w:type="spellStart"/>
      <w:r w:rsidRPr="00E4449B">
        <w:t>Meriba</w:t>
      </w:r>
      <w:proofErr w:type="spellEnd"/>
      <w:r w:rsidRPr="00E4449B">
        <w:t xml:space="preserve"> </w:t>
      </w:r>
      <w:proofErr w:type="spellStart"/>
      <w:r w:rsidRPr="00E4449B">
        <w:t>Omasker</w:t>
      </w:r>
      <w:proofErr w:type="spellEnd"/>
      <w:r w:rsidRPr="00E4449B">
        <w:t xml:space="preserve"> </w:t>
      </w:r>
      <w:proofErr w:type="spellStart"/>
      <w:r w:rsidRPr="00E4449B">
        <w:t>Kaziw</w:t>
      </w:r>
      <w:proofErr w:type="spellEnd"/>
      <w:r w:rsidRPr="00E4449B">
        <w:t xml:space="preserve"> </w:t>
      </w:r>
      <w:proofErr w:type="spellStart"/>
      <w:r w:rsidRPr="00E4449B">
        <w:t>Kazipa</w:t>
      </w:r>
      <w:proofErr w:type="spellEnd"/>
      <w:r w:rsidRPr="00E4449B">
        <w:t>), which was endorsed by Governor</w:t>
      </w:r>
      <w:r w:rsidR="000153F9">
        <w:t xml:space="preserve"> </w:t>
      </w:r>
      <w:r w:rsidRPr="00E4449B">
        <w:t>in</w:t>
      </w:r>
      <w:r w:rsidR="000153F9">
        <w:t xml:space="preserve"> </w:t>
      </w:r>
      <w:r w:rsidRPr="00E4449B">
        <w:t>Council on 10 June 2021.</w:t>
      </w:r>
    </w:p>
    <w:p w14:paraId="584BCED2" w14:textId="77777777" w:rsidR="00851AE1" w:rsidRPr="00E4449B" w:rsidRDefault="00851AE1" w:rsidP="007524AB">
      <w:pPr>
        <w:pStyle w:val="Heading3"/>
      </w:pPr>
      <w:bookmarkStart w:id="26" w:name="_Toc78287368"/>
      <w:bookmarkStart w:id="27" w:name="_Toc78355775"/>
      <w:bookmarkEnd w:id="23"/>
      <w:r w:rsidRPr="00E4449B">
        <w:t>Aboriginal and Torres Strait Islander cultural heritage</w:t>
      </w:r>
      <w:bookmarkEnd w:id="12"/>
      <w:bookmarkEnd w:id="26"/>
      <w:bookmarkEnd w:id="27"/>
    </w:p>
    <w:p w14:paraId="6F4A3204" w14:textId="1A24B4BA" w:rsidR="00851AE1" w:rsidRPr="00E4449B" w:rsidRDefault="00851AE1" w:rsidP="00D83B53">
      <w:pPr>
        <w:rPr>
          <w:rFonts w:eastAsia="Calibri"/>
          <w:lang w:val="en-US" w:eastAsia="en-US"/>
        </w:rPr>
      </w:pPr>
      <w:r w:rsidRPr="00E4449B">
        <w:rPr>
          <w:rFonts w:eastAsia="Calibri"/>
          <w:lang w:val="en-US" w:eastAsia="en-US"/>
        </w:rPr>
        <w:t>The</w:t>
      </w:r>
      <w:r w:rsidRPr="00E4449B">
        <w:rPr>
          <w:rFonts w:eastAsia="Calibri"/>
          <w:spacing w:val="-17"/>
          <w:lang w:val="en-US" w:eastAsia="en-US"/>
        </w:rPr>
        <w:t xml:space="preserve"> </w:t>
      </w:r>
      <w:r w:rsidRPr="00E4449B">
        <w:rPr>
          <w:rFonts w:eastAsia="Calibri"/>
          <w:spacing w:val="-1"/>
          <w:lang w:val="en-US" w:eastAsia="en-US"/>
        </w:rPr>
        <w:t>dep</w:t>
      </w:r>
      <w:r w:rsidRPr="00E4449B">
        <w:rPr>
          <w:rFonts w:eastAsia="Calibri"/>
          <w:spacing w:val="-2"/>
          <w:lang w:val="en-US" w:eastAsia="en-US"/>
        </w:rPr>
        <w:t>artment</w:t>
      </w:r>
      <w:r w:rsidR="0002730C" w:rsidRPr="00E4449B">
        <w:rPr>
          <w:rFonts w:eastAsia="Calibri"/>
          <w:spacing w:val="-17"/>
          <w:lang w:val="en-US" w:eastAsia="en-US"/>
        </w:rPr>
        <w:t xml:space="preserve">, by </w:t>
      </w:r>
      <w:r w:rsidRPr="00E4449B">
        <w:rPr>
          <w:rFonts w:eastAsia="Calibri"/>
          <w:lang w:val="en-US" w:eastAsia="en-US"/>
        </w:rPr>
        <w:t xml:space="preserve">administering the </w:t>
      </w:r>
      <w:r w:rsidRPr="00E4449B">
        <w:rPr>
          <w:rFonts w:eastAsia="Calibri"/>
          <w:i/>
          <w:lang w:val="en-US" w:eastAsia="en-US"/>
        </w:rPr>
        <w:t>Aboriginal</w:t>
      </w:r>
      <w:r w:rsidRPr="00E4449B">
        <w:rPr>
          <w:rFonts w:eastAsia="Calibri"/>
          <w:i/>
          <w:spacing w:val="-9"/>
          <w:lang w:val="en-US" w:eastAsia="en-US"/>
        </w:rPr>
        <w:t xml:space="preserve"> </w:t>
      </w:r>
      <w:r w:rsidRPr="00E4449B">
        <w:rPr>
          <w:rFonts w:eastAsia="Calibri"/>
          <w:i/>
          <w:spacing w:val="-2"/>
          <w:lang w:val="en-US" w:eastAsia="en-US"/>
        </w:rPr>
        <w:t>C</w:t>
      </w:r>
      <w:r w:rsidRPr="00E4449B">
        <w:rPr>
          <w:rFonts w:eastAsia="Calibri"/>
          <w:i/>
          <w:spacing w:val="-3"/>
          <w:lang w:val="en-US" w:eastAsia="en-US"/>
        </w:rPr>
        <w:t>ult</w:t>
      </w:r>
      <w:r w:rsidRPr="00E4449B">
        <w:rPr>
          <w:rFonts w:eastAsia="Calibri"/>
          <w:i/>
          <w:spacing w:val="-2"/>
          <w:lang w:val="en-US" w:eastAsia="en-US"/>
        </w:rPr>
        <w:t>ur</w:t>
      </w:r>
      <w:r w:rsidRPr="00E4449B">
        <w:rPr>
          <w:rFonts w:eastAsia="Calibri"/>
          <w:i/>
          <w:spacing w:val="-3"/>
          <w:lang w:val="en-US" w:eastAsia="en-US"/>
        </w:rPr>
        <w:t>a</w:t>
      </w:r>
      <w:r w:rsidRPr="00E4449B">
        <w:rPr>
          <w:rFonts w:eastAsia="Calibri"/>
          <w:i/>
          <w:spacing w:val="-2"/>
          <w:lang w:val="en-US" w:eastAsia="en-US"/>
        </w:rPr>
        <w:t>l</w:t>
      </w:r>
      <w:r w:rsidRPr="00E4449B">
        <w:rPr>
          <w:rFonts w:eastAsia="Calibri"/>
          <w:i/>
          <w:spacing w:val="-8"/>
          <w:lang w:val="en-US" w:eastAsia="en-US"/>
        </w:rPr>
        <w:t xml:space="preserve"> </w:t>
      </w:r>
      <w:r w:rsidRPr="00E4449B">
        <w:rPr>
          <w:rFonts w:eastAsia="Calibri"/>
          <w:i/>
          <w:spacing w:val="-2"/>
          <w:lang w:val="en-US" w:eastAsia="en-US"/>
        </w:rPr>
        <w:t>Herita</w:t>
      </w:r>
      <w:r w:rsidRPr="00E4449B">
        <w:rPr>
          <w:rFonts w:eastAsia="Calibri"/>
          <w:i/>
          <w:spacing w:val="-1"/>
          <w:lang w:val="en-US" w:eastAsia="en-US"/>
        </w:rPr>
        <w:t>ge</w:t>
      </w:r>
      <w:r w:rsidRPr="00E4449B">
        <w:rPr>
          <w:rFonts w:eastAsia="Calibri"/>
          <w:i/>
          <w:spacing w:val="-8"/>
          <w:lang w:val="en-US" w:eastAsia="en-US"/>
        </w:rPr>
        <w:t xml:space="preserve"> </w:t>
      </w:r>
      <w:r w:rsidRPr="00E4449B">
        <w:rPr>
          <w:rFonts w:eastAsia="Calibri"/>
          <w:i/>
          <w:lang w:val="en-US" w:eastAsia="en-US"/>
        </w:rPr>
        <w:t>Act</w:t>
      </w:r>
      <w:r w:rsidRPr="00E4449B">
        <w:rPr>
          <w:rFonts w:eastAsia="Calibri"/>
          <w:i/>
          <w:spacing w:val="-10"/>
          <w:lang w:val="en-US" w:eastAsia="en-US"/>
        </w:rPr>
        <w:t xml:space="preserve"> </w:t>
      </w:r>
      <w:r w:rsidRPr="00E4449B">
        <w:rPr>
          <w:rFonts w:eastAsia="Calibri"/>
          <w:i/>
          <w:spacing w:val="-3"/>
          <w:lang w:val="en-US" w:eastAsia="en-US"/>
        </w:rPr>
        <w:t>200</w:t>
      </w:r>
      <w:r w:rsidRPr="00E4449B">
        <w:rPr>
          <w:rFonts w:eastAsia="Calibri"/>
          <w:i/>
          <w:spacing w:val="-4"/>
          <w:lang w:val="en-US" w:eastAsia="en-US"/>
        </w:rPr>
        <w:t>3</w:t>
      </w:r>
      <w:r w:rsidRPr="00E4449B">
        <w:rPr>
          <w:rFonts w:eastAsia="Calibri"/>
          <w:i/>
          <w:spacing w:val="-8"/>
          <w:lang w:val="en-US" w:eastAsia="en-US"/>
        </w:rPr>
        <w:t xml:space="preserve"> </w:t>
      </w:r>
      <w:r w:rsidRPr="00E4449B">
        <w:rPr>
          <w:rFonts w:eastAsia="Calibri"/>
          <w:lang w:val="en-US" w:eastAsia="en-US"/>
        </w:rPr>
        <w:t>and</w:t>
      </w:r>
      <w:r w:rsidRPr="00E4449B">
        <w:rPr>
          <w:rFonts w:eastAsia="Calibri"/>
          <w:spacing w:val="-9"/>
          <w:lang w:val="en-US" w:eastAsia="en-US"/>
        </w:rPr>
        <w:t xml:space="preserve"> </w:t>
      </w:r>
      <w:r w:rsidRPr="00E4449B">
        <w:rPr>
          <w:rFonts w:eastAsia="Calibri"/>
          <w:lang w:val="en-US" w:eastAsia="en-US"/>
        </w:rPr>
        <w:t>the</w:t>
      </w:r>
      <w:r w:rsidRPr="00E4449B">
        <w:rPr>
          <w:rFonts w:eastAsia="Calibri"/>
          <w:spacing w:val="-7"/>
          <w:lang w:val="en-US" w:eastAsia="en-US"/>
        </w:rPr>
        <w:t xml:space="preserve"> </w:t>
      </w:r>
      <w:r w:rsidRPr="00E4449B">
        <w:rPr>
          <w:rFonts w:eastAsia="Calibri"/>
          <w:i/>
          <w:spacing w:val="-3"/>
          <w:lang w:val="en-US" w:eastAsia="en-US"/>
        </w:rPr>
        <w:t>Torre</w:t>
      </w:r>
      <w:r w:rsidRPr="00E4449B">
        <w:rPr>
          <w:rFonts w:eastAsia="Calibri"/>
          <w:i/>
          <w:spacing w:val="-2"/>
          <w:lang w:val="en-US" w:eastAsia="en-US"/>
        </w:rPr>
        <w:t>s</w:t>
      </w:r>
      <w:r w:rsidRPr="00E4449B">
        <w:rPr>
          <w:rFonts w:eastAsia="Calibri"/>
          <w:i/>
          <w:spacing w:val="-10"/>
          <w:lang w:val="en-US" w:eastAsia="en-US"/>
        </w:rPr>
        <w:t xml:space="preserve"> </w:t>
      </w:r>
      <w:r w:rsidRPr="00E4449B">
        <w:rPr>
          <w:rFonts w:eastAsia="Calibri"/>
          <w:i/>
          <w:spacing w:val="-2"/>
          <w:lang w:val="en-US" w:eastAsia="en-US"/>
        </w:rPr>
        <w:t>S</w:t>
      </w:r>
      <w:r w:rsidRPr="00E4449B">
        <w:rPr>
          <w:rFonts w:eastAsia="Calibri"/>
          <w:i/>
          <w:spacing w:val="-3"/>
          <w:lang w:val="en-US" w:eastAsia="en-US"/>
        </w:rPr>
        <w:t>trait</w:t>
      </w:r>
      <w:r w:rsidRPr="00E4449B">
        <w:rPr>
          <w:rFonts w:eastAsia="Calibri"/>
          <w:i/>
          <w:spacing w:val="45"/>
          <w:w w:val="93"/>
          <w:lang w:val="en-US" w:eastAsia="en-US"/>
        </w:rPr>
        <w:t xml:space="preserve"> </w:t>
      </w:r>
      <w:r w:rsidRPr="00E4449B">
        <w:rPr>
          <w:rFonts w:eastAsia="Calibri"/>
          <w:i/>
          <w:spacing w:val="-1"/>
          <w:lang w:val="en-US" w:eastAsia="en-US"/>
        </w:rPr>
        <w:t>Islander</w:t>
      </w:r>
      <w:r w:rsidRPr="00E4449B">
        <w:rPr>
          <w:rFonts w:eastAsia="Calibri"/>
          <w:i/>
          <w:spacing w:val="-14"/>
          <w:lang w:val="en-US" w:eastAsia="en-US"/>
        </w:rPr>
        <w:t xml:space="preserve"> </w:t>
      </w:r>
      <w:r w:rsidRPr="00E4449B">
        <w:rPr>
          <w:rFonts w:eastAsia="Calibri"/>
          <w:i/>
          <w:spacing w:val="-2"/>
          <w:lang w:val="en-US" w:eastAsia="en-US"/>
        </w:rPr>
        <w:t>C</w:t>
      </w:r>
      <w:r w:rsidRPr="00E4449B">
        <w:rPr>
          <w:rFonts w:eastAsia="Calibri"/>
          <w:i/>
          <w:spacing w:val="-3"/>
          <w:lang w:val="en-US" w:eastAsia="en-US"/>
        </w:rPr>
        <w:t>ult</w:t>
      </w:r>
      <w:r w:rsidRPr="00E4449B">
        <w:rPr>
          <w:rFonts w:eastAsia="Calibri"/>
          <w:i/>
          <w:spacing w:val="-2"/>
          <w:lang w:val="en-US" w:eastAsia="en-US"/>
        </w:rPr>
        <w:t>ur</w:t>
      </w:r>
      <w:r w:rsidRPr="00E4449B">
        <w:rPr>
          <w:rFonts w:eastAsia="Calibri"/>
          <w:i/>
          <w:spacing w:val="-3"/>
          <w:lang w:val="en-US" w:eastAsia="en-US"/>
        </w:rPr>
        <w:t>a</w:t>
      </w:r>
      <w:r w:rsidRPr="00E4449B">
        <w:rPr>
          <w:rFonts w:eastAsia="Calibri"/>
          <w:i/>
          <w:spacing w:val="-2"/>
          <w:lang w:val="en-US" w:eastAsia="en-US"/>
        </w:rPr>
        <w:t>l</w:t>
      </w:r>
      <w:r w:rsidRPr="00E4449B">
        <w:rPr>
          <w:rFonts w:eastAsia="Calibri"/>
          <w:i/>
          <w:spacing w:val="-11"/>
          <w:lang w:val="en-US" w:eastAsia="en-US"/>
        </w:rPr>
        <w:t xml:space="preserve"> </w:t>
      </w:r>
      <w:r w:rsidRPr="00E4449B">
        <w:rPr>
          <w:rFonts w:eastAsia="Calibri"/>
          <w:i/>
          <w:spacing w:val="-2"/>
          <w:lang w:val="en-US" w:eastAsia="en-US"/>
        </w:rPr>
        <w:t>Herita</w:t>
      </w:r>
      <w:r w:rsidRPr="00E4449B">
        <w:rPr>
          <w:rFonts w:eastAsia="Calibri"/>
          <w:i/>
          <w:spacing w:val="-1"/>
          <w:lang w:val="en-US" w:eastAsia="en-US"/>
        </w:rPr>
        <w:t>ge</w:t>
      </w:r>
      <w:r w:rsidRPr="00E4449B">
        <w:rPr>
          <w:rFonts w:eastAsia="Calibri"/>
          <w:i/>
          <w:spacing w:val="-10"/>
          <w:lang w:val="en-US" w:eastAsia="en-US"/>
        </w:rPr>
        <w:t xml:space="preserve"> </w:t>
      </w:r>
      <w:r w:rsidRPr="00E4449B">
        <w:rPr>
          <w:rFonts w:eastAsia="Calibri"/>
          <w:i/>
          <w:lang w:val="en-US" w:eastAsia="en-US"/>
        </w:rPr>
        <w:t>Act</w:t>
      </w:r>
      <w:r w:rsidRPr="00E4449B">
        <w:rPr>
          <w:rFonts w:eastAsia="Calibri"/>
          <w:i/>
          <w:spacing w:val="-12"/>
          <w:lang w:val="en-US" w:eastAsia="en-US"/>
        </w:rPr>
        <w:t xml:space="preserve"> </w:t>
      </w:r>
      <w:r w:rsidRPr="00E4449B">
        <w:rPr>
          <w:rFonts w:eastAsia="Calibri"/>
          <w:i/>
          <w:spacing w:val="-3"/>
          <w:lang w:val="en-US" w:eastAsia="en-US"/>
        </w:rPr>
        <w:t>200</w:t>
      </w:r>
      <w:r w:rsidRPr="00E4449B">
        <w:rPr>
          <w:rFonts w:eastAsia="Calibri"/>
          <w:i/>
          <w:spacing w:val="-4"/>
          <w:lang w:val="en-US" w:eastAsia="en-US"/>
        </w:rPr>
        <w:t>3</w:t>
      </w:r>
      <w:r w:rsidRPr="00E4449B">
        <w:rPr>
          <w:rFonts w:eastAsia="Calibri"/>
          <w:i/>
          <w:spacing w:val="-10"/>
          <w:lang w:val="en-US" w:eastAsia="en-US"/>
        </w:rPr>
        <w:t xml:space="preserve"> </w:t>
      </w:r>
      <w:r w:rsidRPr="00E4449B">
        <w:rPr>
          <w:rFonts w:eastAsia="Calibri"/>
          <w:lang w:val="en-US" w:eastAsia="en-US"/>
        </w:rPr>
        <w:t>(the</w:t>
      </w:r>
      <w:r w:rsidRPr="00E4449B">
        <w:rPr>
          <w:rFonts w:eastAsia="Calibri"/>
          <w:spacing w:val="-10"/>
          <w:lang w:val="en-US" w:eastAsia="en-US"/>
        </w:rPr>
        <w:t xml:space="preserve"> </w:t>
      </w:r>
      <w:r w:rsidRPr="00E4449B">
        <w:rPr>
          <w:rFonts w:eastAsia="Calibri"/>
          <w:spacing w:val="-2"/>
          <w:lang w:val="en-US" w:eastAsia="en-US"/>
        </w:rPr>
        <w:t>C</w:t>
      </w:r>
      <w:r w:rsidRPr="00E4449B">
        <w:rPr>
          <w:rFonts w:eastAsia="Calibri"/>
          <w:spacing w:val="-3"/>
          <w:lang w:val="en-US" w:eastAsia="en-US"/>
        </w:rPr>
        <w:t>ultur</w:t>
      </w:r>
      <w:r w:rsidRPr="00E4449B">
        <w:rPr>
          <w:rFonts w:eastAsia="Calibri"/>
          <w:spacing w:val="-2"/>
          <w:lang w:val="en-US" w:eastAsia="en-US"/>
        </w:rPr>
        <w:t>al</w:t>
      </w:r>
      <w:r w:rsidRPr="00E4449B">
        <w:rPr>
          <w:rFonts w:eastAsia="Calibri"/>
          <w:spacing w:val="-11"/>
          <w:lang w:val="en-US" w:eastAsia="en-US"/>
        </w:rPr>
        <w:t xml:space="preserve"> </w:t>
      </w:r>
      <w:r w:rsidRPr="00E4449B">
        <w:rPr>
          <w:rFonts w:eastAsia="Calibri"/>
          <w:spacing w:val="-2"/>
          <w:lang w:val="en-US" w:eastAsia="en-US"/>
        </w:rPr>
        <w:t>Herit</w:t>
      </w:r>
      <w:r w:rsidRPr="00E4449B">
        <w:rPr>
          <w:rFonts w:eastAsia="Calibri"/>
          <w:spacing w:val="-1"/>
          <w:lang w:val="en-US" w:eastAsia="en-US"/>
        </w:rPr>
        <w:t xml:space="preserve">age </w:t>
      </w:r>
      <w:r w:rsidR="0002730C" w:rsidRPr="00E4449B">
        <w:rPr>
          <w:rFonts w:eastAsia="Calibri"/>
          <w:lang w:val="en-US" w:eastAsia="en-US"/>
        </w:rPr>
        <w:t>Acts)</w:t>
      </w:r>
      <w:r w:rsidR="00810223" w:rsidRPr="00E4449B">
        <w:rPr>
          <w:rFonts w:eastAsia="Calibri"/>
          <w:lang w:val="en-US" w:eastAsia="en-US"/>
        </w:rPr>
        <w:t>,</w:t>
      </w:r>
      <w:r w:rsidR="0002730C" w:rsidRPr="00E4449B">
        <w:rPr>
          <w:rFonts w:eastAsia="Calibri"/>
          <w:lang w:val="en-US" w:eastAsia="en-US"/>
        </w:rPr>
        <w:t xml:space="preserve"> provide</w:t>
      </w:r>
      <w:r w:rsidR="00810223" w:rsidRPr="00E4449B">
        <w:rPr>
          <w:rFonts w:eastAsia="Calibri"/>
          <w:lang w:val="en-US" w:eastAsia="en-US"/>
        </w:rPr>
        <w:t>s</w:t>
      </w:r>
      <w:r w:rsidR="0002730C" w:rsidRPr="00E4449B">
        <w:rPr>
          <w:rFonts w:eastAsia="Calibri"/>
          <w:lang w:val="en-US" w:eastAsia="en-US"/>
        </w:rPr>
        <w:t xml:space="preserve"> effective recognition, protection and conservation of Aboriginal and Torres Strait Islander cultural heritage.</w:t>
      </w:r>
    </w:p>
    <w:p w14:paraId="0C6DBA98" w14:textId="5D54FE94" w:rsidR="00851AE1" w:rsidRDefault="00851AE1" w:rsidP="00D83B53">
      <w:pPr>
        <w:rPr>
          <w:rFonts w:eastAsia="Calibri"/>
          <w:lang w:val="en-US" w:eastAsia="en-US"/>
        </w:rPr>
      </w:pPr>
      <w:r w:rsidRPr="00E4449B">
        <w:rPr>
          <w:rFonts w:eastAsia="Calibri"/>
          <w:lang w:val="en-US" w:eastAsia="en-US"/>
        </w:rPr>
        <w:t>The</w:t>
      </w:r>
      <w:r w:rsidRPr="00E4449B">
        <w:rPr>
          <w:rFonts w:eastAsia="Calibri"/>
          <w:spacing w:val="-11"/>
          <w:lang w:val="en-US" w:eastAsia="en-US"/>
        </w:rPr>
        <w:t xml:space="preserve"> </w:t>
      </w:r>
      <w:r w:rsidRPr="00E4449B">
        <w:rPr>
          <w:rFonts w:eastAsia="Calibri"/>
          <w:spacing w:val="-2"/>
          <w:lang w:val="en-US" w:eastAsia="en-US"/>
        </w:rPr>
        <w:t>C</w:t>
      </w:r>
      <w:r w:rsidRPr="00E4449B">
        <w:rPr>
          <w:rFonts w:eastAsia="Calibri"/>
          <w:spacing w:val="-3"/>
          <w:lang w:val="en-US" w:eastAsia="en-US"/>
        </w:rPr>
        <w:t>ultur</w:t>
      </w:r>
      <w:r w:rsidRPr="00E4449B">
        <w:rPr>
          <w:rFonts w:eastAsia="Calibri"/>
          <w:spacing w:val="-2"/>
          <w:lang w:val="en-US" w:eastAsia="en-US"/>
        </w:rPr>
        <w:t>al</w:t>
      </w:r>
      <w:r w:rsidRPr="00E4449B">
        <w:rPr>
          <w:rFonts w:eastAsia="Calibri"/>
          <w:spacing w:val="-13"/>
          <w:lang w:val="en-US" w:eastAsia="en-US"/>
        </w:rPr>
        <w:t xml:space="preserve"> </w:t>
      </w:r>
      <w:r w:rsidRPr="00E4449B">
        <w:rPr>
          <w:rFonts w:eastAsia="Calibri"/>
          <w:spacing w:val="-2"/>
          <w:lang w:val="en-US" w:eastAsia="en-US"/>
        </w:rPr>
        <w:t>Herit</w:t>
      </w:r>
      <w:r w:rsidRPr="00E4449B">
        <w:rPr>
          <w:rFonts w:eastAsia="Calibri"/>
          <w:spacing w:val="-1"/>
          <w:lang w:val="en-US" w:eastAsia="en-US"/>
        </w:rPr>
        <w:t>age</w:t>
      </w:r>
      <w:r w:rsidRPr="00E4449B">
        <w:rPr>
          <w:rFonts w:eastAsia="Calibri"/>
          <w:spacing w:val="-11"/>
          <w:lang w:val="en-US" w:eastAsia="en-US"/>
        </w:rPr>
        <w:t xml:space="preserve"> </w:t>
      </w:r>
      <w:r w:rsidRPr="00E4449B">
        <w:rPr>
          <w:rFonts w:eastAsia="Calibri"/>
          <w:lang w:val="en-US" w:eastAsia="en-US"/>
        </w:rPr>
        <w:t>Acts</w:t>
      </w:r>
      <w:r w:rsidRPr="00E4449B">
        <w:rPr>
          <w:rFonts w:eastAsia="Calibri"/>
          <w:spacing w:val="-12"/>
          <w:lang w:val="en-US" w:eastAsia="en-US"/>
        </w:rPr>
        <w:t xml:space="preserve"> </w:t>
      </w:r>
      <w:r w:rsidRPr="00E4449B">
        <w:rPr>
          <w:rFonts w:eastAsia="Calibri"/>
          <w:lang w:val="en-US" w:eastAsia="en-US"/>
        </w:rPr>
        <w:t>require</w:t>
      </w:r>
      <w:r w:rsidRPr="00E4449B">
        <w:rPr>
          <w:rFonts w:eastAsia="Calibri"/>
          <w:spacing w:val="-11"/>
          <w:lang w:val="en-US" w:eastAsia="en-US"/>
        </w:rPr>
        <w:t xml:space="preserve"> </w:t>
      </w:r>
      <w:r w:rsidRPr="00E4449B">
        <w:rPr>
          <w:rFonts w:eastAsia="Calibri"/>
          <w:spacing w:val="-1"/>
          <w:lang w:val="en-US" w:eastAsia="en-US"/>
        </w:rPr>
        <w:t>land</w:t>
      </w:r>
      <w:r w:rsidRPr="00E4449B">
        <w:rPr>
          <w:rFonts w:eastAsia="Calibri"/>
          <w:spacing w:val="-12"/>
          <w:lang w:val="en-US" w:eastAsia="en-US"/>
        </w:rPr>
        <w:t xml:space="preserve"> </w:t>
      </w:r>
      <w:r w:rsidRPr="00E4449B">
        <w:rPr>
          <w:rFonts w:eastAsia="Calibri"/>
          <w:spacing w:val="-1"/>
          <w:lang w:val="en-US" w:eastAsia="en-US"/>
        </w:rPr>
        <w:t>users</w:t>
      </w:r>
      <w:r w:rsidRPr="00E4449B">
        <w:rPr>
          <w:rFonts w:eastAsia="Calibri"/>
          <w:spacing w:val="-13"/>
          <w:lang w:val="en-US" w:eastAsia="en-US"/>
        </w:rPr>
        <w:t xml:space="preserve"> </w:t>
      </w:r>
      <w:r w:rsidRPr="00E4449B">
        <w:rPr>
          <w:rFonts w:eastAsia="Calibri"/>
          <w:spacing w:val="-2"/>
          <w:lang w:val="en-US" w:eastAsia="en-US"/>
        </w:rPr>
        <w:t>t</w:t>
      </w:r>
      <w:r w:rsidRPr="00E4449B">
        <w:rPr>
          <w:rFonts w:eastAsia="Calibri"/>
          <w:spacing w:val="-1"/>
          <w:lang w:val="en-US" w:eastAsia="en-US"/>
        </w:rPr>
        <w:t>o</w:t>
      </w:r>
      <w:r w:rsidRPr="00E4449B">
        <w:rPr>
          <w:rFonts w:eastAsia="Calibri"/>
          <w:spacing w:val="-10"/>
          <w:lang w:val="en-US" w:eastAsia="en-US"/>
        </w:rPr>
        <w:t xml:space="preserve"> </w:t>
      </w:r>
      <w:r w:rsidRPr="00E4449B">
        <w:rPr>
          <w:rFonts w:eastAsia="Calibri"/>
          <w:spacing w:val="-2"/>
          <w:lang w:val="en-US" w:eastAsia="en-US"/>
        </w:rPr>
        <w:t>t</w:t>
      </w:r>
      <w:r w:rsidRPr="00E4449B">
        <w:rPr>
          <w:rFonts w:eastAsia="Calibri"/>
          <w:spacing w:val="-1"/>
          <w:lang w:val="en-US" w:eastAsia="en-US"/>
        </w:rPr>
        <w:t>ake</w:t>
      </w:r>
      <w:r w:rsidRPr="00E4449B">
        <w:rPr>
          <w:rFonts w:eastAsia="Calibri"/>
          <w:spacing w:val="-11"/>
          <w:lang w:val="en-US" w:eastAsia="en-US"/>
        </w:rPr>
        <w:t xml:space="preserve"> </w:t>
      </w:r>
      <w:r w:rsidRPr="00E4449B">
        <w:rPr>
          <w:rFonts w:eastAsia="Calibri"/>
          <w:spacing w:val="-1"/>
          <w:lang w:val="en-US" w:eastAsia="en-US"/>
        </w:rPr>
        <w:t xml:space="preserve">all </w:t>
      </w:r>
      <w:r w:rsidRPr="00E4449B">
        <w:rPr>
          <w:rFonts w:eastAsia="Calibri"/>
          <w:spacing w:val="-2"/>
          <w:lang w:val="en-US" w:eastAsia="en-US"/>
        </w:rPr>
        <w:t>re</w:t>
      </w:r>
      <w:r w:rsidRPr="00E4449B">
        <w:rPr>
          <w:rFonts w:eastAsia="Calibri"/>
          <w:spacing w:val="-1"/>
          <w:lang w:val="en-US" w:eastAsia="en-US"/>
        </w:rPr>
        <w:t>asonabl</w:t>
      </w:r>
      <w:r w:rsidRPr="00E4449B">
        <w:rPr>
          <w:rFonts w:eastAsia="Calibri"/>
          <w:spacing w:val="-2"/>
          <w:lang w:val="en-US" w:eastAsia="en-US"/>
        </w:rPr>
        <w:t>e</w:t>
      </w:r>
      <w:r w:rsidRPr="00E4449B">
        <w:rPr>
          <w:rFonts w:eastAsia="Calibri"/>
          <w:spacing w:val="-11"/>
          <w:lang w:val="en-US" w:eastAsia="en-US"/>
        </w:rPr>
        <w:t xml:space="preserve"> </w:t>
      </w:r>
      <w:r w:rsidRPr="00E4449B">
        <w:rPr>
          <w:rFonts w:eastAsia="Calibri"/>
          <w:lang w:val="en-US" w:eastAsia="en-US"/>
        </w:rPr>
        <w:t>and</w:t>
      </w:r>
      <w:r w:rsidRPr="00E4449B">
        <w:rPr>
          <w:rFonts w:eastAsia="Calibri"/>
          <w:spacing w:val="-12"/>
          <w:lang w:val="en-US" w:eastAsia="en-US"/>
        </w:rPr>
        <w:t xml:space="preserve"> </w:t>
      </w:r>
      <w:r w:rsidRPr="00E4449B">
        <w:rPr>
          <w:rFonts w:eastAsia="Calibri"/>
          <w:spacing w:val="-2"/>
          <w:lang w:val="en-US" w:eastAsia="en-US"/>
        </w:rPr>
        <w:t>pr</w:t>
      </w:r>
      <w:r w:rsidRPr="00E4449B">
        <w:rPr>
          <w:rFonts w:eastAsia="Calibri"/>
          <w:spacing w:val="-1"/>
          <w:lang w:val="en-US" w:eastAsia="en-US"/>
        </w:rPr>
        <w:t>acticabl</w:t>
      </w:r>
      <w:r w:rsidRPr="00E4449B">
        <w:rPr>
          <w:rFonts w:eastAsia="Calibri"/>
          <w:spacing w:val="-2"/>
          <w:lang w:val="en-US" w:eastAsia="en-US"/>
        </w:rPr>
        <w:t>e</w:t>
      </w:r>
      <w:r w:rsidRPr="00E4449B">
        <w:rPr>
          <w:rFonts w:eastAsia="Calibri"/>
          <w:spacing w:val="-11"/>
          <w:lang w:val="en-US" w:eastAsia="en-US"/>
        </w:rPr>
        <w:t xml:space="preserve"> </w:t>
      </w:r>
      <w:r w:rsidRPr="00E4449B">
        <w:rPr>
          <w:rFonts w:eastAsia="Calibri"/>
          <w:spacing w:val="-2"/>
          <w:lang w:val="en-US" w:eastAsia="en-US"/>
        </w:rPr>
        <w:t>me</w:t>
      </w:r>
      <w:r w:rsidRPr="00E4449B">
        <w:rPr>
          <w:rFonts w:eastAsia="Calibri"/>
          <w:spacing w:val="-1"/>
          <w:lang w:val="en-US" w:eastAsia="en-US"/>
        </w:rPr>
        <w:t>asu</w:t>
      </w:r>
      <w:r w:rsidRPr="00E4449B">
        <w:rPr>
          <w:rFonts w:eastAsia="Calibri"/>
          <w:spacing w:val="-2"/>
          <w:lang w:val="en-US" w:eastAsia="en-US"/>
        </w:rPr>
        <w:t>re</w:t>
      </w:r>
      <w:r w:rsidRPr="00E4449B">
        <w:rPr>
          <w:rFonts w:eastAsia="Calibri"/>
          <w:spacing w:val="-1"/>
          <w:lang w:val="en-US" w:eastAsia="en-US"/>
        </w:rPr>
        <w:t>s</w:t>
      </w:r>
      <w:r w:rsidRPr="00E4449B">
        <w:rPr>
          <w:rFonts w:eastAsia="Calibri"/>
          <w:spacing w:val="-12"/>
          <w:lang w:val="en-US" w:eastAsia="en-US"/>
        </w:rPr>
        <w:t xml:space="preserve"> </w:t>
      </w:r>
      <w:r w:rsidRPr="00E4449B">
        <w:rPr>
          <w:rFonts w:eastAsia="Calibri"/>
          <w:spacing w:val="-2"/>
          <w:lang w:val="en-US" w:eastAsia="en-US"/>
        </w:rPr>
        <w:t>t</w:t>
      </w:r>
      <w:r w:rsidRPr="00E4449B">
        <w:rPr>
          <w:rFonts w:eastAsia="Calibri"/>
          <w:spacing w:val="-1"/>
          <w:lang w:val="en-US" w:eastAsia="en-US"/>
        </w:rPr>
        <w:t>o</w:t>
      </w:r>
      <w:r w:rsidRPr="00E4449B">
        <w:rPr>
          <w:rFonts w:eastAsia="Calibri"/>
          <w:spacing w:val="-10"/>
          <w:lang w:val="en-US" w:eastAsia="en-US"/>
        </w:rPr>
        <w:t xml:space="preserve"> </w:t>
      </w:r>
      <w:r w:rsidRPr="00E4449B">
        <w:rPr>
          <w:rFonts w:eastAsia="Calibri"/>
          <w:spacing w:val="-2"/>
          <w:lang w:val="en-US" w:eastAsia="en-US"/>
        </w:rPr>
        <w:t>en</w:t>
      </w:r>
      <w:r w:rsidRPr="00E4449B">
        <w:rPr>
          <w:rFonts w:eastAsia="Calibri"/>
          <w:spacing w:val="-1"/>
          <w:lang w:val="en-US" w:eastAsia="en-US"/>
        </w:rPr>
        <w:t>su</w:t>
      </w:r>
      <w:r w:rsidRPr="00E4449B">
        <w:rPr>
          <w:rFonts w:eastAsia="Calibri"/>
          <w:spacing w:val="-2"/>
          <w:lang w:val="en-US" w:eastAsia="en-US"/>
        </w:rPr>
        <w:t>re</w:t>
      </w:r>
      <w:r w:rsidRPr="00E4449B">
        <w:rPr>
          <w:rFonts w:eastAsia="Calibri"/>
          <w:spacing w:val="-11"/>
          <w:lang w:val="en-US" w:eastAsia="en-US"/>
        </w:rPr>
        <w:t xml:space="preserve"> </w:t>
      </w:r>
      <w:r w:rsidRPr="00E4449B">
        <w:rPr>
          <w:rFonts w:eastAsia="Calibri"/>
          <w:lang w:val="en-US" w:eastAsia="en-US"/>
        </w:rPr>
        <w:t>their</w:t>
      </w:r>
      <w:r w:rsidRPr="00E4449B">
        <w:rPr>
          <w:rFonts w:eastAsia="Calibri"/>
          <w:spacing w:val="-10"/>
          <w:lang w:val="en-US" w:eastAsia="en-US"/>
        </w:rPr>
        <w:t xml:space="preserve"> </w:t>
      </w:r>
      <w:r w:rsidRPr="00E4449B">
        <w:rPr>
          <w:rFonts w:eastAsia="Calibri"/>
          <w:spacing w:val="-1"/>
          <w:lang w:val="en-US" w:eastAsia="en-US"/>
        </w:rPr>
        <w:t>acti</w:t>
      </w:r>
      <w:r w:rsidRPr="00E4449B">
        <w:rPr>
          <w:rFonts w:eastAsia="Calibri"/>
          <w:spacing w:val="-2"/>
          <w:lang w:val="en-US" w:eastAsia="en-US"/>
        </w:rPr>
        <w:t>vity</w:t>
      </w:r>
      <w:r w:rsidRPr="00E4449B">
        <w:rPr>
          <w:rFonts w:eastAsia="Calibri"/>
          <w:spacing w:val="21"/>
          <w:w w:val="94"/>
          <w:lang w:val="en-US" w:eastAsia="en-US"/>
        </w:rPr>
        <w:t xml:space="preserve"> </w:t>
      </w:r>
      <w:r w:rsidRPr="00E4449B">
        <w:rPr>
          <w:rFonts w:eastAsia="Calibri"/>
          <w:spacing w:val="-1"/>
          <w:lang w:val="en-US" w:eastAsia="en-US"/>
        </w:rPr>
        <w:t>does</w:t>
      </w:r>
      <w:r w:rsidRPr="00E4449B">
        <w:rPr>
          <w:rFonts w:eastAsia="Calibri"/>
          <w:spacing w:val="-16"/>
          <w:lang w:val="en-US" w:eastAsia="en-US"/>
        </w:rPr>
        <w:t xml:space="preserve"> </w:t>
      </w:r>
      <w:r w:rsidRPr="00E4449B">
        <w:rPr>
          <w:rFonts w:eastAsia="Calibri"/>
          <w:lang w:val="en-US" w:eastAsia="en-US"/>
        </w:rPr>
        <w:t>not</w:t>
      </w:r>
      <w:r w:rsidRPr="00E4449B">
        <w:rPr>
          <w:rFonts w:eastAsia="Calibri"/>
          <w:spacing w:val="-15"/>
          <w:lang w:val="en-US" w:eastAsia="en-US"/>
        </w:rPr>
        <w:t xml:space="preserve"> </w:t>
      </w:r>
      <w:r w:rsidRPr="00E4449B">
        <w:rPr>
          <w:rFonts w:eastAsia="Calibri"/>
          <w:spacing w:val="-1"/>
          <w:lang w:val="en-US" w:eastAsia="en-US"/>
        </w:rPr>
        <w:t>h</w:t>
      </w:r>
      <w:r w:rsidRPr="00E4449B">
        <w:rPr>
          <w:rFonts w:eastAsia="Calibri"/>
          <w:spacing w:val="-2"/>
          <w:lang w:val="en-US" w:eastAsia="en-US"/>
        </w:rPr>
        <w:t>arm</w:t>
      </w:r>
      <w:r w:rsidRPr="00E4449B">
        <w:rPr>
          <w:rFonts w:eastAsia="Calibri"/>
          <w:spacing w:val="-14"/>
          <w:lang w:val="en-US" w:eastAsia="en-US"/>
        </w:rPr>
        <w:t xml:space="preserve"> </w:t>
      </w:r>
      <w:r w:rsidRPr="00E4449B">
        <w:rPr>
          <w:rFonts w:eastAsia="Calibri"/>
          <w:spacing w:val="-2"/>
          <w:lang w:val="en-US" w:eastAsia="en-US"/>
        </w:rPr>
        <w:t>c</w:t>
      </w:r>
      <w:r w:rsidRPr="00E4449B">
        <w:rPr>
          <w:rFonts w:eastAsia="Calibri"/>
          <w:spacing w:val="-3"/>
          <w:lang w:val="en-US" w:eastAsia="en-US"/>
        </w:rPr>
        <w:t>ultur</w:t>
      </w:r>
      <w:r w:rsidRPr="00E4449B">
        <w:rPr>
          <w:rFonts w:eastAsia="Calibri"/>
          <w:spacing w:val="-2"/>
          <w:lang w:val="en-US" w:eastAsia="en-US"/>
        </w:rPr>
        <w:t>al</w:t>
      </w:r>
      <w:r w:rsidRPr="00E4449B">
        <w:rPr>
          <w:rFonts w:eastAsia="Calibri"/>
          <w:spacing w:val="-16"/>
          <w:lang w:val="en-US" w:eastAsia="en-US"/>
        </w:rPr>
        <w:t xml:space="preserve"> </w:t>
      </w:r>
      <w:r w:rsidRPr="00E4449B">
        <w:rPr>
          <w:rFonts w:eastAsia="Calibri"/>
          <w:spacing w:val="-2"/>
          <w:lang w:val="en-US" w:eastAsia="en-US"/>
        </w:rPr>
        <w:t>herit</w:t>
      </w:r>
      <w:r w:rsidRPr="00E4449B">
        <w:rPr>
          <w:rFonts w:eastAsia="Calibri"/>
          <w:spacing w:val="-1"/>
          <w:lang w:val="en-US" w:eastAsia="en-US"/>
        </w:rPr>
        <w:t>age.</w:t>
      </w:r>
      <w:r w:rsidRPr="00E4449B">
        <w:rPr>
          <w:rFonts w:eastAsia="Calibri"/>
          <w:spacing w:val="-17"/>
          <w:lang w:val="en-US" w:eastAsia="en-US"/>
        </w:rPr>
        <w:t xml:space="preserve"> </w:t>
      </w:r>
      <w:r w:rsidRPr="00E4449B">
        <w:rPr>
          <w:rFonts w:eastAsia="Calibri"/>
          <w:lang w:val="en-US" w:eastAsia="en-US"/>
        </w:rPr>
        <w:t>The</w:t>
      </w:r>
      <w:r w:rsidRPr="00E4449B">
        <w:rPr>
          <w:rFonts w:eastAsia="Calibri"/>
          <w:spacing w:val="-14"/>
          <w:lang w:val="en-US" w:eastAsia="en-US"/>
        </w:rPr>
        <w:t xml:space="preserve"> </w:t>
      </w:r>
      <w:r w:rsidRPr="00E4449B">
        <w:rPr>
          <w:rFonts w:eastAsia="Calibri"/>
          <w:spacing w:val="-1"/>
          <w:lang w:val="en-US" w:eastAsia="en-US"/>
        </w:rPr>
        <w:t>department manages an award-winning cultural heritage database, which is accessible to land users through an online portal so they can ascertain whether</w:t>
      </w:r>
      <w:r w:rsidRPr="00E4449B">
        <w:rPr>
          <w:rFonts w:eastAsia="Calibri"/>
          <w:spacing w:val="-9"/>
          <w:lang w:val="en-US" w:eastAsia="en-US"/>
        </w:rPr>
        <w:t xml:space="preserve"> </w:t>
      </w:r>
      <w:r w:rsidRPr="00E4449B">
        <w:rPr>
          <w:rFonts w:eastAsia="Calibri"/>
          <w:spacing w:val="-1"/>
          <w:lang w:val="en-US" w:eastAsia="en-US"/>
        </w:rPr>
        <w:t>an</w:t>
      </w:r>
      <w:r w:rsidRPr="00E4449B">
        <w:rPr>
          <w:rFonts w:eastAsia="Calibri"/>
          <w:spacing w:val="-2"/>
          <w:lang w:val="en-US" w:eastAsia="en-US"/>
        </w:rPr>
        <w:t>y</w:t>
      </w:r>
      <w:r w:rsidRPr="00E4449B">
        <w:rPr>
          <w:rFonts w:eastAsia="Calibri"/>
          <w:spacing w:val="-10"/>
          <w:lang w:val="en-US" w:eastAsia="en-US"/>
        </w:rPr>
        <w:t xml:space="preserve"> </w:t>
      </w:r>
      <w:r w:rsidRPr="00E4449B">
        <w:rPr>
          <w:rFonts w:eastAsia="Calibri"/>
          <w:spacing w:val="-1"/>
          <w:lang w:val="en-US" w:eastAsia="en-US"/>
        </w:rPr>
        <w:t>cu</w:t>
      </w:r>
      <w:r w:rsidRPr="00E4449B">
        <w:rPr>
          <w:rFonts w:eastAsia="Calibri"/>
          <w:spacing w:val="-2"/>
          <w:lang w:val="en-US" w:eastAsia="en-US"/>
        </w:rPr>
        <w:t>lt</w:t>
      </w:r>
      <w:r w:rsidRPr="00E4449B">
        <w:rPr>
          <w:rFonts w:eastAsia="Calibri"/>
          <w:spacing w:val="-1"/>
          <w:lang w:val="en-US" w:eastAsia="en-US"/>
        </w:rPr>
        <w:t>u</w:t>
      </w:r>
      <w:r w:rsidRPr="00E4449B">
        <w:rPr>
          <w:rFonts w:eastAsia="Calibri"/>
          <w:spacing w:val="-2"/>
          <w:lang w:val="en-US" w:eastAsia="en-US"/>
        </w:rPr>
        <w:t>r</w:t>
      </w:r>
      <w:r w:rsidRPr="00E4449B">
        <w:rPr>
          <w:rFonts w:eastAsia="Calibri"/>
          <w:spacing w:val="-1"/>
          <w:lang w:val="en-US" w:eastAsia="en-US"/>
        </w:rPr>
        <w:t>al</w:t>
      </w:r>
      <w:r w:rsidRPr="00E4449B">
        <w:rPr>
          <w:rFonts w:eastAsia="Calibri"/>
          <w:spacing w:val="-10"/>
          <w:lang w:val="en-US" w:eastAsia="en-US"/>
        </w:rPr>
        <w:t xml:space="preserve"> </w:t>
      </w:r>
      <w:r w:rsidRPr="00E4449B">
        <w:rPr>
          <w:rFonts w:eastAsia="Calibri"/>
          <w:spacing w:val="-2"/>
          <w:lang w:val="en-US" w:eastAsia="en-US"/>
        </w:rPr>
        <w:t>herit</w:t>
      </w:r>
      <w:r w:rsidRPr="00E4449B">
        <w:rPr>
          <w:rFonts w:eastAsia="Calibri"/>
          <w:spacing w:val="-1"/>
          <w:lang w:val="en-US" w:eastAsia="en-US"/>
        </w:rPr>
        <w:t>age</w:t>
      </w:r>
      <w:r w:rsidRPr="00E4449B">
        <w:rPr>
          <w:rFonts w:eastAsia="Calibri"/>
          <w:spacing w:val="-9"/>
          <w:lang w:val="en-US" w:eastAsia="en-US"/>
        </w:rPr>
        <w:t xml:space="preserve"> </w:t>
      </w:r>
      <w:r w:rsidRPr="00E4449B">
        <w:rPr>
          <w:rFonts w:eastAsia="Calibri"/>
          <w:spacing w:val="-1"/>
          <w:lang w:val="en-US" w:eastAsia="en-US"/>
        </w:rPr>
        <w:t>s</w:t>
      </w:r>
      <w:r w:rsidRPr="00E4449B">
        <w:rPr>
          <w:rFonts w:eastAsia="Calibri"/>
          <w:spacing w:val="-2"/>
          <w:lang w:val="en-US" w:eastAsia="en-US"/>
        </w:rPr>
        <w:t>ite</w:t>
      </w:r>
      <w:r w:rsidRPr="00E4449B">
        <w:rPr>
          <w:rFonts w:eastAsia="Calibri"/>
          <w:spacing w:val="-1"/>
          <w:lang w:val="en-US" w:eastAsia="en-US"/>
        </w:rPr>
        <w:t>s</w:t>
      </w:r>
      <w:r w:rsidRPr="00E4449B">
        <w:rPr>
          <w:rFonts w:eastAsia="Calibri"/>
          <w:spacing w:val="-10"/>
          <w:lang w:val="en-US" w:eastAsia="en-US"/>
        </w:rPr>
        <w:t xml:space="preserve"> </w:t>
      </w:r>
      <w:r w:rsidRPr="00E4449B">
        <w:rPr>
          <w:rFonts w:eastAsia="Calibri"/>
          <w:lang w:val="en-US" w:eastAsia="en-US"/>
        </w:rPr>
        <w:t>and</w:t>
      </w:r>
      <w:r w:rsidRPr="00E4449B">
        <w:rPr>
          <w:rFonts w:eastAsia="Calibri"/>
          <w:spacing w:val="-10"/>
          <w:lang w:val="en-US" w:eastAsia="en-US"/>
        </w:rPr>
        <w:t xml:space="preserve"> </w:t>
      </w:r>
      <w:r w:rsidRPr="00E4449B">
        <w:rPr>
          <w:rFonts w:eastAsia="Calibri"/>
          <w:spacing w:val="-2"/>
          <w:lang w:val="en-US" w:eastAsia="en-US"/>
        </w:rPr>
        <w:t>plac</w:t>
      </w:r>
      <w:r w:rsidRPr="00E4449B">
        <w:rPr>
          <w:rFonts w:eastAsia="Calibri"/>
          <w:spacing w:val="-3"/>
          <w:lang w:val="en-US" w:eastAsia="en-US"/>
        </w:rPr>
        <w:t>e</w:t>
      </w:r>
      <w:r w:rsidRPr="00E4449B">
        <w:rPr>
          <w:rFonts w:eastAsia="Calibri"/>
          <w:spacing w:val="-2"/>
          <w:lang w:val="en-US" w:eastAsia="en-US"/>
        </w:rPr>
        <w:t>s</w:t>
      </w:r>
      <w:r w:rsidRPr="00E4449B">
        <w:rPr>
          <w:rFonts w:eastAsia="Calibri"/>
          <w:spacing w:val="-10"/>
          <w:lang w:val="en-US" w:eastAsia="en-US"/>
        </w:rPr>
        <w:t xml:space="preserve"> </w:t>
      </w:r>
      <w:r w:rsidRPr="00E4449B">
        <w:rPr>
          <w:rFonts w:eastAsia="Calibri"/>
          <w:spacing w:val="-1"/>
          <w:lang w:val="en-US" w:eastAsia="en-US"/>
        </w:rPr>
        <w:t>ha</w:t>
      </w:r>
      <w:r w:rsidRPr="00E4449B">
        <w:rPr>
          <w:rFonts w:eastAsia="Calibri"/>
          <w:spacing w:val="-2"/>
          <w:lang w:val="en-US" w:eastAsia="en-US"/>
        </w:rPr>
        <w:t>ve</w:t>
      </w:r>
      <w:r w:rsidRPr="00E4449B">
        <w:rPr>
          <w:rFonts w:eastAsia="Calibri"/>
          <w:spacing w:val="-8"/>
          <w:lang w:val="en-US" w:eastAsia="en-US"/>
        </w:rPr>
        <w:t xml:space="preserve"> </w:t>
      </w:r>
      <w:r w:rsidRPr="00E4449B">
        <w:rPr>
          <w:rFonts w:eastAsia="Calibri"/>
          <w:lang w:val="en-US" w:eastAsia="en-US"/>
        </w:rPr>
        <w:t>been</w:t>
      </w:r>
      <w:r w:rsidRPr="00E4449B">
        <w:rPr>
          <w:rFonts w:eastAsia="Calibri"/>
          <w:spacing w:val="31"/>
          <w:w w:val="98"/>
          <w:lang w:val="en-US" w:eastAsia="en-US"/>
        </w:rPr>
        <w:t xml:space="preserve"> </w:t>
      </w:r>
      <w:r w:rsidRPr="00E4449B">
        <w:rPr>
          <w:rFonts w:eastAsia="Calibri"/>
          <w:spacing w:val="-2"/>
          <w:lang w:val="en-US" w:eastAsia="en-US"/>
        </w:rPr>
        <w:t>prev</w:t>
      </w:r>
      <w:r w:rsidRPr="00E4449B">
        <w:rPr>
          <w:rFonts w:eastAsia="Calibri"/>
          <w:spacing w:val="-1"/>
          <w:lang w:val="en-US" w:eastAsia="en-US"/>
        </w:rPr>
        <w:t>ious</w:t>
      </w:r>
      <w:r w:rsidRPr="00E4449B">
        <w:rPr>
          <w:rFonts w:eastAsia="Calibri"/>
          <w:spacing w:val="-2"/>
          <w:lang w:val="en-US" w:eastAsia="en-US"/>
        </w:rPr>
        <w:t>ly</w:t>
      </w:r>
      <w:r w:rsidRPr="00E4449B">
        <w:rPr>
          <w:rFonts w:eastAsia="Calibri"/>
          <w:spacing w:val="-9"/>
          <w:lang w:val="en-US" w:eastAsia="en-US"/>
        </w:rPr>
        <w:t xml:space="preserve"> </w:t>
      </w:r>
      <w:r w:rsidRPr="00E4449B">
        <w:rPr>
          <w:rFonts w:eastAsia="Calibri"/>
          <w:spacing w:val="-2"/>
          <w:lang w:val="en-US" w:eastAsia="en-US"/>
        </w:rPr>
        <w:t>record</w:t>
      </w:r>
      <w:r w:rsidRPr="00E4449B">
        <w:rPr>
          <w:rFonts w:eastAsia="Calibri"/>
          <w:spacing w:val="-1"/>
          <w:lang w:val="en-US" w:eastAsia="en-US"/>
        </w:rPr>
        <w:t>ed</w:t>
      </w:r>
      <w:r w:rsidRPr="00E4449B">
        <w:rPr>
          <w:rFonts w:eastAsia="Calibri"/>
          <w:spacing w:val="-9"/>
          <w:lang w:val="en-US" w:eastAsia="en-US"/>
        </w:rPr>
        <w:t xml:space="preserve"> </w:t>
      </w:r>
      <w:r w:rsidRPr="00E4449B">
        <w:rPr>
          <w:rFonts w:eastAsia="Calibri"/>
          <w:lang w:val="en-US" w:eastAsia="en-US"/>
        </w:rPr>
        <w:t>on</w:t>
      </w:r>
      <w:r w:rsidRPr="00E4449B">
        <w:rPr>
          <w:rFonts w:eastAsia="Calibri"/>
          <w:spacing w:val="-8"/>
          <w:lang w:val="en-US" w:eastAsia="en-US"/>
        </w:rPr>
        <w:t xml:space="preserve"> </w:t>
      </w:r>
      <w:r w:rsidRPr="00E4449B">
        <w:rPr>
          <w:rFonts w:eastAsia="Calibri"/>
          <w:lang w:val="en-US" w:eastAsia="en-US"/>
        </w:rPr>
        <w:t>the</w:t>
      </w:r>
      <w:r w:rsidRPr="00E4449B">
        <w:rPr>
          <w:rFonts w:eastAsia="Calibri"/>
          <w:spacing w:val="-7"/>
          <w:lang w:val="en-US" w:eastAsia="en-US"/>
        </w:rPr>
        <w:t xml:space="preserve"> </w:t>
      </w:r>
      <w:r w:rsidRPr="00E4449B">
        <w:rPr>
          <w:rFonts w:eastAsia="Calibri"/>
          <w:spacing w:val="-1"/>
          <w:lang w:val="en-US" w:eastAsia="en-US"/>
        </w:rPr>
        <w:t>d</w:t>
      </w:r>
      <w:r w:rsidRPr="00E4449B">
        <w:rPr>
          <w:rFonts w:eastAsia="Calibri"/>
          <w:spacing w:val="-2"/>
          <w:lang w:val="en-US" w:eastAsia="en-US"/>
        </w:rPr>
        <w:t>at</w:t>
      </w:r>
      <w:r w:rsidRPr="00E4449B">
        <w:rPr>
          <w:rFonts w:eastAsia="Calibri"/>
          <w:spacing w:val="-1"/>
          <w:lang w:val="en-US" w:eastAsia="en-US"/>
        </w:rPr>
        <w:t>abase.</w:t>
      </w:r>
      <w:r w:rsidRPr="00E4449B">
        <w:rPr>
          <w:rFonts w:eastAsia="Calibri"/>
          <w:spacing w:val="-11"/>
          <w:lang w:val="en-US" w:eastAsia="en-US"/>
        </w:rPr>
        <w:t xml:space="preserve"> </w:t>
      </w:r>
      <w:r w:rsidRPr="00E4449B">
        <w:rPr>
          <w:rFonts w:eastAsia="Calibri"/>
          <w:lang w:val="en-US" w:eastAsia="en-US"/>
        </w:rPr>
        <w:t>The</w:t>
      </w:r>
      <w:r w:rsidRPr="00E4449B">
        <w:rPr>
          <w:rFonts w:eastAsia="Calibri"/>
          <w:spacing w:val="-7"/>
          <w:lang w:val="en-US" w:eastAsia="en-US"/>
        </w:rPr>
        <w:t xml:space="preserve"> </w:t>
      </w:r>
      <w:r w:rsidRPr="00E4449B">
        <w:rPr>
          <w:rFonts w:eastAsia="Calibri"/>
          <w:spacing w:val="-1"/>
          <w:lang w:val="en-US" w:eastAsia="en-US"/>
        </w:rPr>
        <w:t>d</w:t>
      </w:r>
      <w:r w:rsidRPr="00E4449B">
        <w:rPr>
          <w:rFonts w:eastAsia="Calibri"/>
          <w:spacing w:val="-2"/>
          <w:lang w:val="en-US" w:eastAsia="en-US"/>
        </w:rPr>
        <w:t>at</w:t>
      </w:r>
      <w:r w:rsidRPr="00E4449B">
        <w:rPr>
          <w:rFonts w:eastAsia="Calibri"/>
          <w:spacing w:val="-1"/>
          <w:lang w:val="en-US" w:eastAsia="en-US"/>
        </w:rPr>
        <w:t>abase</w:t>
      </w:r>
      <w:r w:rsidRPr="00E4449B">
        <w:rPr>
          <w:rFonts w:eastAsia="Calibri"/>
          <w:spacing w:val="-7"/>
          <w:lang w:val="en-US" w:eastAsia="en-US"/>
        </w:rPr>
        <w:t xml:space="preserve"> </w:t>
      </w:r>
      <w:r w:rsidRPr="00E4449B">
        <w:rPr>
          <w:rFonts w:eastAsia="Calibri"/>
          <w:spacing w:val="-2"/>
          <w:lang w:val="en-US" w:eastAsia="en-US"/>
        </w:rPr>
        <w:t>pr</w:t>
      </w:r>
      <w:r w:rsidRPr="00E4449B">
        <w:rPr>
          <w:rFonts w:eastAsia="Calibri"/>
          <w:spacing w:val="-1"/>
          <w:lang w:val="en-US" w:eastAsia="en-US"/>
        </w:rPr>
        <w:t>o</w:t>
      </w:r>
      <w:r w:rsidRPr="00E4449B">
        <w:rPr>
          <w:rFonts w:eastAsia="Calibri"/>
          <w:spacing w:val="-2"/>
          <w:lang w:val="en-US" w:eastAsia="en-US"/>
        </w:rPr>
        <w:t>v</w:t>
      </w:r>
      <w:r w:rsidRPr="00E4449B">
        <w:rPr>
          <w:rFonts w:eastAsia="Calibri"/>
          <w:spacing w:val="-1"/>
          <w:lang w:val="en-US" w:eastAsia="en-US"/>
        </w:rPr>
        <w:t>id</w:t>
      </w:r>
      <w:r w:rsidRPr="00E4449B">
        <w:rPr>
          <w:rFonts w:eastAsia="Calibri"/>
          <w:spacing w:val="-2"/>
          <w:lang w:val="en-US" w:eastAsia="en-US"/>
        </w:rPr>
        <w:t>e</w:t>
      </w:r>
      <w:r w:rsidRPr="00E4449B">
        <w:rPr>
          <w:rFonts w:eastAsia="Calibri"/>
          <w:spacing w:val="-1"/>
          <w:lang w:val="en-US" w:eastAsia="en-US"/>
        </w:rPr>
        <w:t>s</w:t>
      </w:r>
      <w:r w:rsidRPr="00E4449B">
        <w:rPr>
          <w:rFonts w:eastAsia="Calibri"/>
          <w:spacing w:val="33"/>
          <w:w w:val="110"/>
          <w:lang w:val="en-US" w:eastAsia="en-US"/>
        </w:rPr>
        <w:t xml:space="preserve"> </w:t>
      </w:r>
      <w:r w:rsidRPr="00E4449B">
        <w:rPr>
          <w:rFonts w:eastAsia="Calibri"/>
          <w:lang w:val="en-US" w:eastAsia="en-US"/>
        </w:rPr>
        <w:t>an</w:t>
      </w:r>
      <w:r w:rsidRPr="00E4449B">
        <w:rPr>
          <w:rFonts w:eastAsia="Calibri"/>
          <w:spacing w:val="-2"/>
          <w:lang w:val="en-US" w:eastAsia="en-US"/>
        </w:rPr>
        <w:t xml:space="preserve"> acc</w:t>
      </w:r>
      <w:r w:rsidRPr="00E4449B">
        <w:rPr>
          <w:rFonts w:eastAsia="Calibri"/>
          <w:spacing w:val="-3"/>
          <w:lang w:val="en-US" w:eastAsia="en-US"/>
        </w:rPr>
        <w:t>e</w:t>
      </w:r>
      <w:r w:rsidRPr="00E4449B">
        <w:rPr>
          <w:rFonts w:eastAsia="Calibri"/>
          <w:spacing w:val="-2"/>
          <w:lang w:val="en-US" w:eastAsia="en-US"/>
        </w:rPr>
        <w:t>ssibl</w:t>
      </w:r>
      <w:r w:rsidRPr="00E4449B">
        <w:rPr>
          <w:rFonts w:eastAsia="Calibri"/>
          <w:spacing w:val="-3"/>
          <w:lang w:val="en-US" w:eastAsia="en-US"/>
        </w:rPr>
        <w:t>e</w:t>
      </w:r>
      <w:r w:rsidRPr="00E4449B">
        <w:rPr>
          <w:rFonts w:eastAsia="Calibri"/>
          <w:spacing w:val="-1"/>
          <w:lang w:val="en-US" w:eastAsia="en-US"/>
        </w:rPr>
        <w:t xml:space="preserve"> search </w:t>
      </w:r>
      <w:r w:rsidRPr="00E4449B">
        <w:rPr>
          <w:rFonts w:eastAsia="Calibri"/>
          <w:spacing w:val="-2"/>
          <w:lang w:val="en-US" w:eastAsia="en-US"/>
        </w:rPr>
        <w:t>pr</w:t>
      </w:r>
      <w:r w:rsidRPr="00E4449B">
        <w:rPr>
          <w:rFonts w:eastAsia="Calibri"/>
          <w:spacing w:val="-1"/>
          <w:lang w:val="en-US" w:eastAsia="en-US"/>
        </w:rPr>
        <w:t>oc</w:t>
      </w:r>
      <w:r w:rsidRPr="00E4449B">
        <w:rPr>
          <w:rFonts w:eastAsia="Calibri"/>
          <w:spacing w:val="-2"/>
          <w:lang w:val="en-US" w:eastAsia="en-US"/>
        </w:rPr>
        <w:t>e</w:t>
      </w:r>
      <w:r w:rsidRPr="00E4449B">
        <w:rPr>
          <w:rFonts w:eastAsia="Calibri"/>
          <w:spacing w:val="-1"/>
          <w:lang w:val="en-US" w:eastAsia="en-US"/>
        </w:rPr>
        <w:t>ss</w:t>
      </w:r>
      <w:r w:rsidRPr="00E4449B">
        <w:rPr>
          <w:rFonts w:eastAsia="Calibri"/>
          <w:spacing w:val="-3"/>
          <w:lang w:val="en-US" w:eastAsia="en-US"/>
        </w:rPr>
        <w:t xml:space="preserve"> </w:t>
      </w:r>
      <w:r w:rsidRPr="00E4449B">
        <w:rPr>
          <w:rFonts w:eastAsia="Calibri"/>
          <w:spacing w:val="-2"/>
          <w:lang w:val="en-US" w:eastAsia="en-US"/>
        </w:rPr>
        <w:t>that</w:t>
      </w:r>
      <w:r w:rsidRPr="00E4449B">
        <w:rPr>
          <w:rFonts w:eastAsia="Calibri"/>
          <w:spacing w:val="-3"/>
          <w:lang w:val="en-US" w:eastAsia="en-US"/>
        </w:rPr>
        <w:t xml:space="preserve"> </w:t>
      </w:r>
      <w:r w:rsidRPr="00E4449B">
        <w:rPr>
          <w:rFonts w:eastAsia="Calibri"/>
          <w:spacing w:val="-2"/>
          <w:lang w:val="en-US" w:eastAsia="en-US"/>
        </w:rPr>
        <w:t>en</w:t>
      </w:r>
      <w:r w:rsidRPr="00E4449B">
        <w:rPr>
          <w:rFonts w:eastAsia="Calibri"/>
          <w:spacing w:val="-1"/>
          <w:lang w:val="en-US" w:eastAsia="en-US"/>
        </w:rPr>
        <w:t>abl</w:t>
      </w:r>
      <w:r w:rsidRPr="00E4449B">
        <w:rPr>
          <w:rFonts w:eastAsia="Calibri"/>
          <w:spacing w:val="-2"/>
          <w:lang w:val="en-US" w:eastAsia="en-US"/>
        </w:rPr>
        <w:t>e</w:t>
      </w:r>
      <w:r w:rsidRPr="00E4449B">
        <w:rPr>
          <w:rFonts w:eastAsia="Calibri"/>
          <w:spacing w:val="-1"/>
          <w:lang w:val="en-US" w:eastAsia="en-US"/>
        </w:rPr>
        <w:t>s</w:t>
      </w:r>
      <w:r w:rsidRPr="00E4449B">
        <w:rPr>
          <w:rFonts w:eastAsia="Calibri"/>
          <w:spacing w:val="-3"/>
          <w:lang w:val="en-US" w:eastAsia="en-US"/>
        </w:rPr>
        <w:t xml:space="preserve"> </w:t>
      </w:r>
      <w:r w:rsidRPr="00E4449B">
        <w:rPr>
          <w:rFonts w:eastAsia="Calibri"/>
          <w:spacing w:val="-1"/>
          <w:lang w:val="en-US" w:eastAsia="en-US"/>
        </w:rPr>
        <w:t>land</w:t>
      </w:r>
      <w:r w:rsidRPr="00E4449B">
        <w:rPr>
          <w:rFonts w:eastAsia="Calibri"/>
          <w:spacing w:val="-3"/>
          <w:lang w:val="en-US" w:eastAsia="en-US"/>
        </w:rPr>
        <w:t xml:space="preserve"> </w:t>
      </w:r>
      <w:r w:rsidRPr="00E4449B">
        <w:rPr>
          <w:rFonts w:eastAsia="Calibri"/>
          <w:spacing w:val="-1"/>
          <w:lang w:val="en-US" w:eastAsia="en-US"/>
        </w:rPr>
        <w:t>users</w:t>
      </w:r>
      <w:r w:rsidRPr="00E4449B">
        <w:rPr>
          <w:rFonts w:eastAsia="Calibri"/>
          <w:spacing w:val="-3"/>
          <w:lang w:val="en-US" w:eastAsia="en-US"/>
        </w:rPr>
        <w:t xml:space="preserve"> </w:t>
      </w:r>
      <w:r w:rsidRPr="00E4449B">
        <w:rPr>
          <w:rFonts w:eastAsia="Calibri"/>
          <w:spacing w:val="-2"/>
          <w:lang w:val="en-US" w:eastAsia="en-US"/>
        </w:rPr>
        <w:t>t</w:t>
      </w:r>
      <w:r w:rsidRPr="00E4449B">
        <w:rPr>
          <w:rFonts w:eastAsia="Calibri"/>
          <w:spacing w:val="-1"/>
          <w:lang w:val="en-US" w:eastAsia="en-US"/>
        </w:rPr>
        <w:t xml:space="preserve">o </w:t>
      </w:r>
      <w:r w:rsidRPr="00E4449B">
        <w:rPr>
          <w:rFonts w:eastAsia="Calibri"/>
          <w:lang w:val="en-US" w:eastAsia="en-US"/>
        </w:rPr>
        <w:t>meet</w:t>
      </w:r>
      <w:r w:rsidRPr="00E4449B">
        <w:rPr>
          <w:rFonts w:eastAsia="Calibri"/>
          <w:spacing w:val="35"/>
          <w:w w:val="95"/>
          <w:lang w:val="en-US" w:eastAsia="en-US"/>
        </w:rPr>
        <w:t xml:space="preserve"> </w:t>
      </w:r>
      <w:r w:rsidRPr="00E4449B">
        <w:rPr>
          <w:rFonts w:eastAsia="Calibri"/>
          <w:lang w:val="en-US" w:eastAsia="en-US"/>
        </w:rPr>
        <w:t>their</w:t>
      </w:r>
      <w:r w:rsidRPr="00E4449B">
        <w:rPr>
          <w:rFonts w:eastAsia="Calibri"/>
          <w:spacing w:val="-10"/>
          <w:lang w:val="en-US" w:eastAsia="en-US"/>
        </w:rPr>
        <w:t xml:space="preserve"> </w:t>
      </w:r>
      <w:r w:rsidRPr="00E4449B">
        <w:rPr>
          <w:rFonts w:eastAsia="Calibri"/>
          <w:lang w:val="en-US" w:eastAsia="en-US"/>
        </w:rPr>
        <w:t>duty</w:t>
      </w:r>
      <w:r w:rsidRPr="00E4449B">
        <w:rPr>
          <w:rFonts w:eastAsia="Calibri"/>
          <w:spacing w:val="-12"/>
          <w:lang w:val="en-US" w:eastAsia="en-US"/>
        </w:rPr>
        <w:t xml:space="preserve"> </w:t>
      </w:r>
      <w:r w:rsidRPr="00E4449B">
        <w:rPr>
          <w:rFonts w:eastAsia="Calibri"/>
          <w:lang w:val="en-US" w:eastAsia="en-US"/>
        </w:rPr>
        <w:t>of</w:t>
      </w:r>
      <w:r w:rsidRPr="00E4449B">
        <w:rPr>
          <w:rFonts w:eastAsia="Calibri"/>
          <w:spacing w:val="-11"/>
          <w:lang w:val="en-US" w:eastAsia="en-US"/>
        </w:rPr>
        <w:t xml:space="preserve"> </w:t>
      </w:r>
      <w:r w:rsidRPr="00E4449B">
        <w:rPr>
          <w:rFonts w:eastAsia="Calibri"/>
          <w:spacing w:val="-1"/>
          <w:lang w:val="en-US" w:eastAsia="en-US"/>
        </w:rPr>
        <w:t>c</w:t>
      </w:r>
      <w:r w:rsidRPr="00E4449B">
        <w:rPr>
          <w:rFonts w:eastAsia="Calibri"/>
          <w:spacing w:val="-2"/>
          <w:lang w:val="en-US" w:eastAsia="en-US"/>
        </w:rPr>
        <w:t>are</w:t>
      </w:r>
      <w:r w:rsidRPr="00E4449B">
        <w:rPr>
          <w:rFonts w:eastAsia="Calibri"/>
          <w:spacing w:val="-10"/>
          <w:lang w:val="en-US" w:eastAsia="en-US"/>
        </w:rPr>
        <w:t xml:space="preserve"> </w:t>
      </w:r>
      <w:r w:rsidRPr="00E4449B">
        <w:rPr>
          <w:rFonts w:eastAsia="Calibri"/>
          <w:spacing w:val="-1"/>
          <w:lang w:val="en-US" w:eastAsia="en-US"/>
        </w:rPr>
        <w:t>oblig</w:t>
      </w:r>
      <w:r w:rsidRPr="00E4449B">
        <w:rPr>
          <w:rFonts w:eastAsia="Calibri"/>
          <w:spacing w:val="-2"/>
          <w:lang w:val="en-US" w:eastAsia="en-US"/>
        </w:rPr>
        <w:t>ation</w:t>
      </w:r>
      <w:r w:rsidRPr="00E4449B">
        <w:rPr>
          <w:rFonts w:eastAsia="Calibri"/>
          <w:spacing w:val="-1"/>
          <w:lang w:val="en-US" w:eastAsia="en-US"/>
        </w:rPr>
        <w:t>s</w:t>
      </w:r>
      <w:r w:rsidRPr="00E4449B">
        <w:rPr>
          <w:rFonts w:eastAsia="Calibri"/>
          <w:spacing w:val="-11"/>
          <w:lang w:val="en-US" w:eastAsia="en-US"/>
        </w:rPr>
        <w:t xml:space="preserve"> </w:t>
      </w:r>
      <w:r w:rsidRPr="00E4449B">
        <w:rPr>
          <w:rFonts w:eastAsia="Calibri"/>
          <w:spacing w:val="-2"/>
          <w:lang w:val="en-US" w:eastAsia="en-US"/>
        </w:rPr>
        <w:t>e</w:t>
      </w:r>
      <w:r w:rsidRPr="00E4449B">
        <w:rPr>
          <w:rFonts w:eastAsia="Calibri"/>
          <w:spacing w:val="-1"/>
          <w:lang w:val="en-US" w:eastAsia="en-US"/>
        </w:rPr>
        <w:t>s</w:t>
      </w:r>
      <w:r w:rsidRPr="00E4449B">
        <w:rPr>
          <w:rFonts w:eastAsia="Calibri"/>
          <w:spacing w:val="-2"/>
          <w:lang w:val="en-US" w:eastAsia="en-US"/>
        </w:rPr>
        <w:t>t</w:t>
      </w:r>
      <w:r w:rsidRPr="00E4449B">
        <w:rPr>
          <w:rFonts w:eastAsia="Calibri"/>
          <w:spacing w:val="-1"/>
          <w:lang w:val="en-US" w:eastAsia="en-US"/>
        </w:rPr>
        <w:t>ablished</w:t>
      </w:r>
      <w:r w:rsidRPr="00E4449B">
        <w:rPr>
          <w:rFonts w:eastAsia="Calibri"/>
          <w:spacing w:val="-11"/>
          <w:lang w:val="en-US" w:eastAsia="en-US"/>
        </w:rPr>
        <w:t xml:space="preserve"> </w:t>
      </w:r>
      <w:r w:rsidRPr="00E4449B">
        <w:rPr>
          <w:rFonts w:eastAsia="Calibri"/>
          <w:spacing w:val="-1"/>
          <w:lang w:val="en-US" w:eastAsia="en-US"/>
        </w:rPr>
        <w:t>b</w:t>
      </w:r>
      <w:r w:rsidRPr="00E4449B">
        <w:rPr>
          <w:rFonts w:eastAsia="Calibri"/>
          <w:spacing w:val="-2"/>
          <w:lang w:val="en-US" w:eastAsia="en-US"/>
        </w:rPr>
        <w:t>y</w:t>
      </w:r>
      <w:r w:rsidRPr="00E4449B">
        <w:rPr>
          <w:rFonts w:eastAsia="Calibri"/>
          <w:spacing w:val="-12"/>
          <w:lang w:val="en-US" w:eastAsia="en-US"/>
        </w:rPr>
        <w:t xml:space="preserve"> </w:t>
      </w:r>
      <w:r w:rsidRPr="00E4449B">
        <w:rPr>
          <w:rFonts w:eastAsia="Calibri"/>
          <w:lang w:val="en-US" w:eastAsia="en-US"/>
        </w:rPr>
        <w:t>the</w:t>
      </w:r>
      <w:r w:rsidRPr="00E4449B">
        <w:rPr>
          <w:rFonts w:eastAsia="Calibri"/>
          <w:spacing w:val="-10"/>
          <w:lang w:val="en-US" w:eastAsia="en-US"/>
        </w:rPr>
        <w:t xml:space="preserve"> </w:t>
      </w:r>
      <w:r w:rsidRPr="00E4449B">
        <w:rPr>
          <w:rFonts w:eastAsia="Calibri"/>
          <w:spacing w:val="-2"/>
          <w:lang w:val="en-US" w:eastAsia="en-US"/>
        </w:rPr>
        <w:t>Cultural Heritage Acts</w:t>
      </w:r>
      <w:r w:rsidRPr="00E4449B">
        <w:rPr>
          <w:rFonts w:eastAsia="Calibri"/>
          <w:lang w:val="en-US" w:eastAsia="en-US"/>
        </w:rPr>
        <w:t>.</w:t>
      </w:r>
    </w:p>
    <w:p w14:paraId="20B74FB4" w14:textId="43C5F2D7" w:rsidR="00B06F2C" w:rsidRPr="00E4449B" w:rsidRDefault="00B06F2C" w:rsidP="00D83B53">
      <w:pPr>
        <w:rPr>
          <w:rFonts w:eastAsia="Calibri"/>
          <w:lang w:val="en-US" w:eastAsia="en-US"/>
        </w:rPr>
      </w:pPr>
      <w:r w:rsidRPr="000153F9">
        <w:rPr>
          <w:rFonts w:eastAsia="Calibri"/>
          <w:lang w:val="en-US" w:eastAsia="en-US"/>
        </w:rPr>
        <w:t>The review of the Cultural Heritage Acts is in progress.</w:t>
      </w:r>
      <w:r>
        <w:rPr>
          <w:rFonts w:eastAsia="Calibri"/>
          <w:lang w:val="en-US" w:eastAsia="en-US"/>
        </w:rPr>
        <w:t xml:space="preserve"> </w:t>
      </w:r>
    </w:p>
    <w:p w14:paraId="689C0580" w14:textId="77777777" w:rsidR="00851AE1" w:rsidRPr="003B3D1E" w:rsidRDefault="00851AE1" w:rsidP="00D21656">
      <w:pPr>
        <w:pStyle w:val="Heading4"/>
      </w:pPr>
      <w:r w:rsidRPr="003B3D1E">
        <w:t>Key achievements</w:t>
      </w:r>
    </w:p>
    <w:p w14:paraId="448BE6C0" w14:textId="48441CDE" w:rsidR="00851AE1" w:rsidRPr="00E4449B" w:rsidRDefault="00851AE1" w:rsidP="00D83B53">
      <w:pPr>
        <w:rPr>
          <w:rFonts w:eastAsia="Calibri"/>
          <w:color w:val="FF0000"/>
          <w:lang w:val="en-US" w:eastAsia="en-US"/>
        </w:rPr>
      </w:pPr>
      <w:r w:rsidRPr="00E4449B">
        <w:rPr>
          <w:rFonts w:eastAsia="Calibri"/>
          <w:lang w:val="en-US" w:eastAsia="en-US"/>
        </w:rPr>
        <w:t>During the period 13 November 2020 to 30 June 2021, the</w:t>
      </w:r>
      <w:r w:rsidRPr="00E4449B">
        <w:rPr>
          <w:rFonts w:eastAsia="Calibri"/>
          <w:spacing w:val="-13"/>
          <w:lang w:val="en-US" w:eastAsia="en-US"/>
        </w:rPr>
        <w:t xml:space="preserve"> </w:t>
      </w:r>
      <w:r w:rsidRPr="00E4449B">
        <w:rPr>
          <w:rFonts w:eastAsia="Calibri"/>
          <w:spacing w:val="-1"/>
          <w:lang w:val="en-US" w:eastAsia="en-US"/>
        </w:rPr>
        <w:t>dep</w:t>
      </w:r>
      <w:r w:rsidRPr="00E4449B">
        <w:rPr>
          <w:rFonts w:eastAsia="Calibri"/>
          <w:spacing w:val="-2"/>
          <w:lang w:val="en-US" w:eastAsia="en-US"/>
        </w:rPr>
        <w:t>artment</w:t>
      </w:r>
      <w:r w:rsidRPr="00E4449B">
        <w:rPr>
          <w:rFonts w:eastAsia="Calibri"/>
          <w:spacing w:val="-1"/>
          <w:lang w:val="en-US" w:eastAsia="en-US"/>
        </w:rPr>
        <w:t>:</w:t>
      </w:r>
      <w:r w:rsidR="00810223" w:rsidRPr="00E4449B">
        <w:rPr>
          <w:rFonts w:eastAsia="Calibri"/>
          <w:spacing w:val="-1"/>
          <w:lang w:val="en-US" w:eastAsia="en-US"/>
        </w:rPr>
        <w:t xml:space="preserve"> </w:t>
      </w:r>
    </w:p>
    <w:p w14:paraId="46203921" w14:textId="6468FBF1" w:rsidR="00851AE1" w:rsidRPr="00D83B53" w:rsidRDefault="00851AE1" w:rsidP="003B3D1E">
      <w:pPr>
        <w:pStyle w:val="ListBullet"/>
        <w:rPr>
          <w:rFonts w:eastAsia="Calibri"/>
        </w:rPr>
      </w:pPr>
      <w:r w:rsidRPr="00D83B53">
        <w:rPr>
          <w:rFonts w:eastAsia="Calibri"/>
        </w:rPr>
        <w:t xml:space="preserve">enabled </w:t>
      </w:r>
      <w:bookmarkStart w:id="28" w:name="_Hlk79401478"/>
      <w:bookmarkStart w:id="29" w:name="_Hlk77925572"/>
      <w:r w:rsidR="004B5161" w:rsidRPr="00D83B53">
        <w:rPr>
          <w:rFonts w:eastAsia="Calibri"/>
        </w:rPr>
        <w:t>21,107</w:t>
      </w:r>
      <w:r w:rsidR="00BB28B8" w:rsidRPr="00D83B53">
        <w:rPr>
          <w:rFonts w:eastAsia="Calibri"/>
        </w:rPr>
        <w:t xml:space="preserve"> </w:t>
      </w:r>
      <w:bookmarkEnd w:id="28"/>
      <w:bookmarkEnd w:id="29"/>
      <w:r w:rsidRPr="00D83B53">
        <w:rPr>
          <w:rFonts w:eastAsia="Calibri"/>
        </w:rPr>
        <w:t>cultural heritage searches to be performed on the cultural heritage online portal</w:t>
      </w:r>
    </w:p>
    <w:p w14:paraId="6FF6C10A" w14:textId="5E4D7326" w:rsidR="00157DCE" w:rsidRPr="00D83B53" w:rsidRDefault="00851AE1" w:rsidP="003B3D1E">
      <w:pPr>
        <w:pStyle w:val="ListBullet"/>
        <w:rPr>
          <w:rFonts w:eastAsia="Calibri"/>
        </w:rPr>
      </w:pPr>
      <w:r w:rsidRPr="00D83B53">
        <w:rPr>
          <w:rFonts w:eastAsia="Calibri"/>
        </w:rPr>
        <w:t xml:space="preserve">approved and registered </w:t>
      </w:r>
      <w:r w:rsidR="004B5161" w:rsidRPr="00D83B53">
        <w:rPr>
          <w:rFonts w:eastAsia="Calibri"/>
        </w:rPr>
        <w:t>15</w:t>
      </w:r>
      <w:r w:rsidRPr="00D83B53">
        <w:rPr>
          <w:rFonts w:eastAsia="Calibri"/>
        </w:rPr>
        <w:t xml:space="preserve"> cultural heritage management plans in accordance with Part 7 of the Cultural Heritage Acts</w:t>
      </w:r>
    </w:p>
    <w:p w14:paraId="5D3C779C" w14:textId="290793C9" w:rsidR="00851AE1" w:rsidRPr="00D83B53" w:rsidRDefault="00810223" w:rsidP="003B3D1E">
      <w:pPr>
        <w:pStyle w:val="ListBullet"/>
        <w:rPr>
          <w:rFonts w:eastAsia="Calibri"/>
        </w:rPr>
      </w:pPr>
      <w:r w:rsidRPr="00D83B53">
        <w:rPr>
          <w:rFonts w:eastAsia="Calibri"/>
        </w:rPr>
        <w:t xml:space="preserve">achieved an </w:t>
      </w:r>
      <w:r w:rsidR="00157DCE" w:rsidRPr="00D83B53">
        <w:rPr>
          <w:rFonts w:eastAsia="Calibri"/>
        </w:rPr>
        <w:t xml:space="preserve">average cost </w:t>
      </w:r>
      <w:r w:rsidRPr="00D83B53">
        <w:rPr>
          <w:rFonts w:eastAsia="Calibri"/>
        </w:rPr>
        <w:t>of $</w:t>
      </w:r>
      <w:r w:rsidR="002B1C76" w:rsidRPr="00D83B53">
        <w:rPr>
          <w:rFonts w:eastAsia="Calibri"/>
        </w:rPr>
        <w:t>24</w:t>
      </w:r>
      <w:r w:rsidRPr="00D83B53">
        <w:rPr>
          <w:rFonts w:eastAsia="Calibri"/>
        </w:rPr>
        <w:t xml:space="preserve"> (target $</w:t>
      </w:r>
      <w:r w:rsidR="008D1D09" w:rsidRPr="00D83B53">
        <w:rPr>
          <w:rFonts w:eastAsia="Calibri"/>
        </w:rPr>
        <w:t>3</w:t>
      </w:r>
      <w:r w:rsidRPr="00D83B53">
        <w:rPr>
          <w:rFonts w:eastAsia="Calibri"/>
        </w:rPr>
        <w:t xml:space="preserve">3) </w:t>
      </w:r>
      <w:r w:rsidR="00157DCE" w:rsidRPr="00D83B53">
        <w:rPr>
          <w:rFonts w:eastAsia="Calibri"/>
        </w:rPr>
        <w:t>per cultural heritage search request processed</w:t>
      </w:r>
      <w:r w:rsidR="00851AE1" w:rsidRPr="00D83B53">
        <w:rPr>
          <w:rFonts w:eastAsia="Calibri"/>
        </w:rPr>
        <w:t>.</w:t>
      </w:r>
    </w:p>
    <w:p w14:paraId="5BF6E97E" w14:textId="6E1FD802" w:rsidR="00CB1AA1" w:rsidRPr="00E4449B" w:rsidRDefault="00CB1AA1" w:rsidP="007524AB">
      <w:pPr>
        <w:pStyle w:val="Heading3"/>
      </w:pPr>
      <w:bookmarkStart w:id="30" w:name="_Toc78287369"/>
      <w:bookmarkStart w:id="31" w:name="_Toc78355776"/>
      <w:r w:rsidRPr="00E4449B">
        <w:t>Community and personal history services</w:t>
      </w:r>
      <w:bookmarkEnd w:id="30"/>
      <w:bookmarkEnd w:id="31"/>
    </w:p>
    <w:p w14:paraId="2A686256" w14:textId="61589916" w:rsidR="00CB1AA1" w:rsidRPr="00E4449B" w:rsidRDefault="00CB1AA1" w:rsidP="00D83B53">
      <w:pPr>
        <w:rPr>
          <w:rFonts w:eastAsia="Calibri"/>
          <w:lang w:val="en-US" w:eastAsia="en-US"/>
        </w:rPr>
      </w:pPr>
      <w:r w:rsidRPr="00E4449B">
        <w:rPr>
          <w:rFonts w:eastAsia="Calibri"/>
          <w:lang w:val="en-US" w:eastAsia="en-US"/>
        </w:rPr>
        <w:t>The department continue</w:t>
      </w:r>
      <w:r w:rsidR="00810223" w:rsidRPr="00E4449B">
        <w:rPr>
          <w:rFonts w:eastAsia="Calibri"/>
          <w:lang w:val="en-US" w:eastAsia="en-US"/>
        </w:rPr>
        <w:t>s</w:t>
      </w:r>
      <w:r w:rsidRPr="00E4449B">
        <w:rPr>
          <w:rFonts w:eastAsia="Calibri"/>
          <w:lang w:val="en-US" w:eastAsia="en-US"/>
        </w:rPr>
        <w:t xml:space="preserve"> to provide community and personal history services and can be requested at any time. This service fulfils </w:t>
      </w:r>
      <w:r w:rsidR="00810223" w:rsidRPr="00E4449B">
        <w:rPr>
          <w:rFonts w:eastAsia="Calibri"/>
          <w:lang w:val="en-US" w:eastAsia="en-US"/>
        </w:rPr>
        <w:t xml:space="preserve">the </w:t>
      </w:r>
      <w:r w:rsidRPr="00E4449B">
        <w:rPr>
          <w:rFonts w:eastAsia="Calibri"/>
          <w:lang w:val="en-US" w:eastAsia="en-US"/>
        </w:rPr>
        <w:t xml:space="preserve">recommendations in the </w:t>
      </w:r>
      <w:r w:rsidRPr="00E4449B">
        <w:rPr>
          <w:rFonts w:eastAsia="Calibri"/>
          <w:i/>
          <w:lang w:val="en-US" w:eastAsia="en-US"/>
        </w:rPr>
        <w:t xml:space="preserve">Royal Commission into Aboriginal Deaths in Custody and the Bringing Them Home </w:t>
      </w:r>
      <w:r w:rsidRPr="00E4449B">
        <w:rPr>
          <w:rFonts w:eastAsia="Calibri"/>
          <w:lang w:val="en-US" w:eastAsia="en-US"/>
        </w:rPr>
        <w:t>reports, which recommended that Aboriginal peoples and Torres Strait Islander peoples should be provided with access to government records and be assisted to trace their family and community histories.</w:t>
      </w:r>
    </w:p>
    <w:p w14:paraId="5765E883" w14:textId="77777777" w:rsidR="005015A4" w:rsidRDefault="00CB1AA1" w:rsidP="00D83B53">
      <w:pPr>
        <w:rPr>
          <w:rFonts w:eastAsia="Calibri"/>
          <w:lang w:val="en-US" w:eastAsia="en-US"/>
        </w:rPr>
      </w:pPr>
      <w:r w:rsidRPr="00E4449B">
        <w:rPr>
          <w:rFonts w:eastAsia="Calibri"/>
          <w:lang w:val="en-US" w:eastAsia="en-US"/>
        </w:rPr>
        <w:t xml:space="preserve">The most requested records are for evidence of ‘forcible removals’; proof of Aboriginal or Torres Strait Islander descent; and date of birth confirmation to assist with the creation of retrospective birth certificates by the Queensland Registry of Births, Deaths and Marriages. </w:t>
      </w:r>
    </w:p>
    <w:p w14:paraId="6D5B88B6" w14:textId="413B2565" w:rsidR="008E00EF" w:rsidRPr="00E4449B" w:rsidRDefault="00CB1AA1" w:rsidP="00D83B53">
      <w:pPr>
        <w:rPr>
          <w:rFonts w:eastAsia="Calibri"/>
          <w:lang w:val="en-US" w:eastAsia="en-US"/>
        </w:rPr>
      </w:pPr>
      <w:r w:rsidRPr="00E4449B">
        <w:rPr>
          <w:rFonts w:eastAsia="Calibri"/>
          <w:lang w:val="en-US" w:eastAsia="en-US"/>
        </w:rPr>
        <w:t xml:space="preserve">The department also undertakes requests for Native Title </w:t>
      </w:r>
      <w:proofErr w:type="gramStart"/>
      <w:r w:rsidRPr="00E4449B">
        <w:rPr>
          <w:rFonts w:eastAsia="Calibri"/>
          <w:lang w:val="en-US" w:eastAsia="en-US"/>
        </w:rPr>
        <w:t>research</w:t>
      </w:r>
      <w:r w:rsidR="00810223" w:rsidRPr="00E4449B">
        <w:rPr>
          <w:rFonts w:eastAsia="Calibri"/>
          <w:lang w:val="en-US" w:eastAsia="en-US"/>
        </w:rPr>
        <w:t>, and</w:t>
      </w:r>
      <w:proofErr w:type="gramEnd"/>
      <w:r w:rsidR="00810223" w:rsidRPr="00E4449B">
        <w:rPr>
          <w:rFonts w:eastAsia="Calibri"/>
          <w:lang w:val="en-US" w:eastAsia="en-US"/>
        </w:rPr>
        <w:t xml:space="preserve"> </w:t>
      </w:r>
      <w:r w:rsidR="008E00EF" w:rsidRPr="00E4449B">
        <w:rPr>
          <w:rFonts w:eastAsia="Calibri"/>
          <w:lang w:val="en-US" w:eastAsia="en-US"/>
        </w:rPr>
        <w:t>participate</w:t>
      </w:r>
      <w:r w:rsidR="00810223" w:rsidRPr="00E4449B">
        <w:rPr>
          <w:rFonts w:eastAsia="Calibri"/>
          <w:lang w:val="en-US" w:eastAsia="en-US"/>
        </w:rPr>
        <w:t>s</w:t>
      </w:r>
      <w:r w:rsidR="008E00EF" w:rsidRPr="00E4449B">
        <w:rPr>
          <w:rFonts w:eastAsia="Calibri"/>
          <w:lang w:val="en-US" w:eastAsia="en-US"/>
        </w:rPr>
        <w:t xml:space="preserve"> in the National Redress Scheme</w:t>
      </w:r>
      <w:r w:rsidR="005015A4">
        <w:rPr>
          <w:rFonts w:eastAsia="Calibri"/>
          <w:lang w:val="en-US" w:eastAsia="en-US"/>
        </w:rPr>
        <w:t xml:space="preserve"> (NRS) </w:t>
      </w:r>
      <w:r w:rsidR="008E00EF" w:rsidRPr="00E4449B">
        <w:rPr>
          <w:rFonts w:eastAsia="Calibri"/>
          <w:lang w:val="en-US" w:eastAsia="en-US"/>
        </w:rPr>
        <w:t>by providing high quality research responses to applications and requests associated with the NRS</w:t>
      </w:r>
      <w:r w:rsidR="005015A4">
        <w:rPr>
          <w:rFonts w:eastAsia="Calibri"/>
          <w:lang w:val="en-US" w:eastAsia="en-US"/>
        </w:rPr>
        <w:t>.</w:t>
      </w:r>
    </w:p>
    <w:p w14:paraId="3F92D4A1" w14:textId="77777777" w:rsidR="00CB1AA1" w:rsidRPr="00D83B53" w:rsidRDefault="00CB1AA1" w:rsidP="00D21656">
      <w:pPr>
        <w:pStyle w:val="Heading4"/>
      </w:pPr>
      <w:r w:rsidRPr="00D83B53">
        <w:t>Key achievements</w:t>
      </w:r>
    </w:p>
    <w:p w14:paraId="7EF3FB54" w14:textId="50D76F37" w:rsidR="00CB1AA1" w:rsidRPr="00E4449B" w:rsidRDefault="00810223" w:rsidP="00D83B53">
      <w:pPr>
        <w:rPr>
          <w:rFonts w:eastAsia="Calibri"/>
          <w:lang w:val="en-US" w:eastAsia="en-US"/>
        </w:rPr>
      </w:pPr>
      <w:r w:rsidRPr="00E4449B">
        <w:rPr>
          <w:rFonts w:eastAsia="Calibri"/>
          <w:lang w:val="en-US" w:eastAsia="en-US"/>
        </w:rPr>
        <w:t>During the</w:t>
      </w:r>
      <w:r w:rsidR="00BB28B8" w:rsidRPr="00E4449B">
        <w:rPr>
          <w:rFonts w:eastAsia="Calibri"/>
          <w:lang w:val="en-US" w:eastAsia="en-US"/>
        </w:rPr>
        <w:t xml:space="preserve"> period 13 November 2020 to 30 June 2021, </w:t>
      </w:r>
      <w:r w:rsidRPr="00E4449B">
        <w:rPr>
          <w:rFonts w:eastAsia="Calibri"/>
          <w:lang w:val="en-US" w:eastAsia="en-US"/>
        </w:rPr>
        <w:t>t</w:t>
      </w:r>
      <w:r w:rsidR="00CB1AA1" w:rsidRPr="00E4449B">
        <w:rPr>
          <w:rFonts w:eastAsia="Calibri"/>
          <w:lang w:val="en-US" w:eastAsia="en-US"/>
        </w:rPr>
        <w:t>he department:</w:t>
      </w:r>
    </w:p>
    <w:p w14:paraId="48AFE867" w14:textId="28A64ABD" w:rsidR="00157DCE" w:rsidRPr="00D83B53" w:rsidRDefault="00CB1AA1" w:rsidP="00D83B53">
      <w:pPr>
        <w:pStyle w:val="ListBullet"/>
        <w:rPr>
          <w:rFonts w:eastAsia="Calibri"/>
        </w:rPr>
      </w:pPr>
      <w:r w:rsidRPr="00D83B53">
        <w:rPr>
          <w:rFonts w:eastAsia="Calibri"/>
        </w:rPr>
        <w:t xml:space="preserve">responded to </w:t>
      </w:r>
      <w:r w:rsidR="0046686E" w:rsidRPr="00D83B53">
        <w:rPr>
          <w:rFonts w:eastAsia="Calibri"/>
        </w:rPr>
        <w:t>359</w:t>
      </w:r>
      <w:r w:rsidRPr="00D83B53">
        <w:rPr>
          <w:rFonts w:eastAsia="Calibri"/>
        </w:rPr>
        <w:t xml:space="preserve"> requests for historical records relating to Aboriginal and Torres Strait Islander Queenslanders</w:t>
      </w:r>
    </w:p>
    <w:p w14:paraId="0A379D14" w14:textId="465C886F" w:rsidR="00851AE1" w:rsidRPr="00D83B53" w:rsidRDefault="00810223" w:rsidP="00D83B53">
      <w:pPr>
        <w:pStyle w:val="ListBullet"/>
        <w:rPr>
          <w:rFonts w:eastAsia="Calibri"/>
        </w:rPr>
      </w:pPr>
      <w:r w:rsidRPr="00D83B53">
        <w:rPr>
          <w:rFonts w:eastAsia="Calibri"/>
        </w:rPr>
        <w:t xml:space="preserve">achieved an </w:t>
      </w:r>
      <w:r w:rsidR="00157DCE" w:rsidRPr="00D83B53">
        <w:rPr>
          <w:rFonts w:eastAsia="Calibri"/>
        </w:rPr>
        <w:t>average cost</w:t>
      </w:r>
      <w:r w:rsidRPr="00D83B53">
        <w:rPr>
          <w:rFonts w:eastAsia="Calibri"/>
        </w:rPr>
        <w:t xml:space="preserve"> of $</w:t>
      </w:r>
      <w:r w:rsidR="0046686E" w:rsidRPr="00D83B53">
        <w:rPr>
          <w:rFonts w:eastAsia="Calibri"/>
        </w:rPr>
        <w:t>5,109</w:t>
      </w:r>
      <w:r w:rsidRPr="00D83B53">
        <w:rPr>
          <w:rFonts w:eastAsia="Calibri"/>
        </w:rPr>
        <w:t xml:space="preserve"> (target $5,310)</w:t>
      </w:r>
      <w:r w:rsidR="00157DCE" w:rsidRPr="00D83B53">
        <w:rPr>
          <w:rFonts w:eastAsia="Calibri"/>
        </w:rPr>
        <w:t xml:space="preserve"> per community and personal history request processed</w:t>
      </w:r>
      <w:r w:rsidRPr="00D83B53">
        <w:rPr>
          <w:rFonts w:eastAsia="Calibri"/>
        </w:rPr>
        <w:t>.</w:t>
      </w:r>
      <w:r w:rsidR="00157DCE" w:rsidRPr="00D83B53">
        <w:rPr>
          <w:rFonts w:eastAsia="Calibri"/>
        </w:rPr>
        <w:t xml:space="preserve"> </w:t>
      </w:r>
    </w:p>
    <w:p w14:paraId="4DE2FD83" w14:textId="77777777" w:rsidR="005E5AD9" w:rsidRPr="00E4449B" w:rsidRDefault="005E5AD9" w:rsidP="007524AB">
      <w:pPr>
        <w:pStyle w:val="Heading3"/>
        <w:rPr>
          <w:rFonts w:eastAsia="Calibri"/>
          <w:lang w:val="en-US"/>
        </w:rPr>
      </w:pPr>
      <w:bookmarkStart w:id="32" w:name="_Toc67046718"/>
      <w:bookmarkStart w:id="33" w:name="_Toc78287370"/>
      <w:bookmarkStart w:id="34" w:name="_Toc78355777"/>
      <w:bookmarkStart w:id="35" w:name="_Hlk78189826"/>
      <w:r w:rsidRPr="00E4449B">
        <w:lastRenderedPageBreak/>
        <w:t>A renewed approach to Alcohol Management Plans</w:t>
      </w:r>
      <w:bookmarkEnd w:id="32"/>
      <w:bookmarkEnd w:id="33"/>
      <w:bookmarkEnd w:id="34"/>
    </w:p>
    <w:p w14:paraId="18246C13" w14:textId="7DF266E5" w:rsidR="005E5AD9" w:rsidRPr="00E4449B" w:rsidRDefault="005E5AD9" w:rsidP="00D83B53">
      <w:pPr>
        <w:rPr>
          <w:rFonts w:eastAsia="Calibri"/>
          <w:lang w:val="en-US" w:eastAsia="en-US"/>
        </w:rPr>
      </w:pPr>
      <w:r w:rsidRPr="00E4449B">
        <w:rPr>
          <w:rFonts w:eastAsia="Calibri"/>
          <w:lang w:val="en-US" w:eastAsia="en-US"/>
        </w:rPr>
        <w:t xml:space="preserve">The department is working with Aboriginal and Torres Strait Islander communities that have Alcohol Management Plans in place to support and assist in the development and implementation of </w:t>
      </w:r>
      <w:r w:rsidR="005015A4">
        <w:rPr>
          <w:rFonts w:eastAsia="Calibri"/>
          <w:lang w:val="en-US" w:eastAsia="en-US"/>
        </w:rPr>
        <w:t>c</w:t>
      </w:r>
      <w:r w:rsidRPr="00E4449B">
        <w:rPr>
          <w:rFonts w:eastAsia="Calibri"/>
          <w:lang w:val="en-US" w:eastAsia="en-US"/>
        </w:rPr>
        <w:t xml:space="preserve">ommunity </w:t>
      </w:r>
      <w:r w:rsidR="005015A4">
        <w:rPr>
          <w:rFonts w:eastAsia="Calibri"/>
          <w:lang w:val="en-US" w:eastAsia="en-US"/>
        </w:rPr>
        <w:t>s</w:t>
      </w:r>
      <w:r w:rsidRPr="00E4449B">
        <w:rPr>
          <w:rFonts w:eastAsia="Calibri"/>
          <w:lang w:val="en-US" w:eastAsia="en-US"/>
        </w:rPr>
        <w:t xml:space="preserve">afety </w:t>
      </w:r>
      <w:r w:rsidR="005015A4">
        <w:rPr>
          <w:rFonts w:eastAsia="Calibri"/>
          <w:lang w:val="en-US" w:eastAsia="en-US"/>
        </w:rPr>
        <w:t>p</w:t>
      </w:r>
      <w:r w:rsidRPr="00E4449B">
        <w:rPr>
          <w:rFonts w:eastAsia="Calibri"/>
          <w:lang w:val="en-US" w:eastAsia="en-US"/>
        </w:rPr>
        <w:t>lans</w:t>
      </w:r>
      <w:r w:rsidR="005015A4">
        <w:rPr>
          <w:rFonts w:eastAsia="Calibri"/>
          <w:lang w:val="en-US" w:eastAsia="en-US"/>
        </w:rPr>
        <w:t xml:space="preserve">. The renewed approach </w:t>
      </w:r>
      <w:r w:rsidRPr="00E4449B">
        <w:rPr>
          <w:rFonts w:eastAsia="Calibri"/>
          <w:spacing w:val="-2"/>
          <w:lang w:val="en-US" w:eastAsia="en-US"/>
        </w:rPr>
        <w:t>t</w:t>
      </w:r>
      <w:r w:rsidRPr="00E4449B">
        <w:rPr>
          <w:rFonts w:eastAsia="Calibri"/>
          <w:spacing w:val="-1"/>
          <w:lang w:val="en-US" w:eastAsia="en-US"/>
        </w:rPr>
        <w:t>o</w:t>
      </w:r>
      <w:r w:rsidRPr="00E4449B">
        <w:rPr>
          <w:rFonts w:eastAsia="Calibri"/>
          <w:spacing w:val="-13"/>
          <w:lang w:val="en-US" w:eastAsia="en-US"/>
        </w:rPr>
        <w:t xml:space="preserve"> </w:t>
      </w:r>
      <w:r w:rsidRPr="00E4449B">
        <w:rPr>
          <w:rFonts w:eastAsia="Calibri"/>
          <w:spacing w:val="-1"/>
          <w:lang w:val="en-US" w:eastAsia="en-US"/>
        </w:rPr>
        <w:t>alcohol</w:t>
      </w:r>
      <w:r w:rsidRPr="00E4449B">
        <w:rPr>
          <w:rFonts w:eastAsia="Calibri"/>
          <w:spacing w:val="-15"/>
          <w:lang w:val="en-US" w:eastAsia="en-US"/>
        </w:rPr>
        <w:t xml:space="preserve"> </w:t>
      </w:r>
      <w:r w:rsidRPr="00E4449B">
        <w:rPr>
          <w:rFonts w:eastAsia="Calibri"/>
          <w:lang w:val="en-US" w:eastAsia="en-US"/>
        </w:rPr>
        <w:t xml:space="preserve">management </w:t>
      </w:r>
      <w:proofErr w:type="spellStart"/>
      <w:r w:rsidRPr="00E4449B">
        <w:rPr>
          <w:rFonts w:eastAsia="Calibri"/>
          <w:lang w:val="en-US" w:eastAsia="en-US"/>
        </w:rPr>
        <w:t>prioritises</w:t>
      </w:r>
      <w:proofErr w:type="spellEnd"/>
      <w:r w:rsidRPr="00E4449B">
        <w:rPr>
          <w:rFonts w:eastAsia="Calibri"/>
          <w:lang w:val="en-US" w:eastAsia="en-US"/>
        </w:rPr>
        <w:t xml:space="preserve"> community safety, particularly for women and children and the elderly, and includes Alcohol Management Plans that are community-led and driven.</w:t>
      </w:r>
      <w:r w:rsidR="00AC767D" w:rsidRPr="00E4449B">
        <w:rPr>
          <w:rFonts w:eastAsia="Calibri"/>
          <w:lang w:val="en-US" w:eastAsia="en-US"/>
        </w:rPr>
        <w:t xml:space="preserve"> The renewed approach to alcohol management aligns with the Local Thriving Communities reform by empowering and embracing local leadership in decisions about alcohol arrangements in their community.</w:t>
      </w:r>
    </w:p>
    <w:p w14:paraId="4852D471" w14:textId="4DA03E18" w:rsidR="005E5AD9" w:rsidRPr="00E4449B" w:rsidRDefault="005E5AD9" w:rsidP="00D83B53">
      <w:pPr>
        <w:rPr>
          <w:rFonts w:eastAsia="Calibri"/>
          <w:spacing w:val="-2"/>
          <w:lang w:val="en-US" w:eastAsia="en-US"/>
        </w:rPr>
      </w:pPr>
      <w:r w:rsidRPr="00E4449B">
        <w:rPr>
          <w:rFonts w:eastAsia="Calibri"/>
          <w:lang w:val="en-US" w:eastAsia="en-US"/>
        </w:rPr>
        <w:t>The</w:t>
      </w:r>
      <w:r w:rsidRPr="00E4449B">
        <w:rPr>
          <w:rFonts w:eastAsia="Calibri"/>
          <w:spacing w:val="-12"/>
          <w:lang w:val="en-US" w:eastAsia="en-US"/>
        </w:rPr>
        <w:t xml:space="preserve"> </w:t>
      </w:r>
      <w:r w:rsidRPr="00E4449B">
        <w:rPr>
          <w:rFonts w:eastAsia="Calibri"/>
          <w:spacing w:val="-1"/>
          <w:lang w:val="en-US" w:eastAsia="en-US"/>
        </w:rPr>
        <w:t>ob</w:t>
      </w:r>
      <w:r w:rsidRPr="00E4449B">
        <w:rPr>
          <w:rFonts w:eastAsia="Calibri"/>
          <w:spacing w:val="-2"/>
          <w:lang w:val="en-US" w:eastAsia="en-US"/>
        </w:rPr>
        <w:t>jective</w:t>
      </w:r>
      <w:r w:rsidRPr="00E4449B">
        <w:rPr>
          <w:rFonts w:eastAsia="Calibri"/>
          <w:spacing w:val="-11"/>
          <w:lang w:val="en-US" w:eastAsia="en-US"/>
        </w:rPr>
        <w:t xml:space="preserve"> </w:t>
      </w:r>
      <w:r w:rsidRPr="00E4449B">
        <w:rPr>
          <w:rFonts w:eastAsia="Calibri"/>
          <w:lang w:val="en-US" w:eastAsia="en-US"/>
        </w:rPr>
        <w:t>of</w:t>
      </w:r>
      <w:r w:rsidRPr="00E4449B">
        <w:rPr>
          <w:rFonts w:eastAsia="Calibri"/>
          <w:spacing w:val="-13"/>
          <w:lang w:val="en-US" w:eastAsia="en-US"/>
        </w:rPr>
        <w:t xml:space="preserve"> </w:t>
      </w:r>
      <w:r w:rsidRPr="00E4449B">
        <w:rPr>
          <w:rFonts w:eastAsia="Calibri"/>
          <w:lang w:val="en-US" w:eastAsia="en-US"/>
        </w:rPr>
        <w:t>the</w:t>
      </w:r>
      <w:r w:rsidRPr="00E4449B">
        <w:rPr>
          <w:rFonts w:eastAsia="Calibri"/>
          <w:spacing w:val="-12"/>
          <w:lang w:val="en-US" w:eastAsia="en-US"/>
        </w:rPr>
        <w:t xml:space="preserve"> </w:t>
      </w:r>
      <w:r w:rsidRPr="00E4449B">
        <w:rPr>
          <w:rFonts w:eastAsia="Calibri"/>
          <w:lang w:val="en-US" w:eastAsia="en-US"/>
        </w:rPr>
        <w:t>renewed</w:t>
      </w:r>
      <w:r w:rsidRPr="00E4449B">
        <w:rPr>
          <w:rFonts w:eastAsia="Calibri"/>
          <w:spacing w:val="-13"/>
          <w:lang w:val="en-US" w:eastAsia="en-US"/>
        </w:rPr>
        <w:t xml:space="preserve"> </w:t>
      </w:r>
      <w:r w:rsidRPr="00E4449B">
        <w:rPr>
          <w:rFonts w:eastAsia="Calibri"/>
          <w:spacing w:val="-1"/>
          <w:lang w:val="en-US" w:eastAsia="en-US"/>
        </w:rPr>
        <w:t>ap</w:t>
      </w:r>
      <w:r w:rsidRPr="00E4449B">
        <w:rPr>
          <w:rFonts w:eastAsia="Calibri"/>
          <w:spacing w:val="-2"/>
          <w:lang w:val="en-US" w:eastAsia="en-US"/>
        </w:rPr>
        <w:t>pr</w:t>
      </w:r>
      <w:r w:rsidRPr="00E4449B">
        <w:rPr>
          <w:rFonts w:eastAsia="Calibri"/>
          <w:spacing w:val="-1"/>
          <w:lang w:val="en-US" w:eastAsia="en-US"/>
        </w:rPr>
        <w:t>oach</w:t>
      </w:r>
      <w:r w:rsidRPr="00E4449B">
        <w:rPr>
          <w:rFonts w:eastAsia="Calibri"/>
          <w:spacing w:val="-11"/>
          <w:lang w:val="en-US" w:eastAsia="en-US"/>
        </w:rPr>
        <w:t xml:space="preserve"> </w:t>
      </w:r>
      <w:r w:rsidRPr="00E4449B">
        <w:rPr>
          <w:rFonts w:eastAsia="Calibri"/>
          <w:spacing w:val="-1"/>
          <w:lang w:val="en-US" w:eastAsia="en-US"/>
        </w:rPr>
        <w:t>is</w:t>
      </w:r>
      <w:r w:rsidRPr="00E4449B">
        <w:rPr>
          <w:rFonts w:eastAsia="Calibri"/>
          <w:spacing w:val="-13"/>
          <w:lang w:val="en-US" w:eastAsia="en-US"/>
        </w:rPr>
        <w:t xml:space="preserve"> </w:t>
      </w:r>
      <w:r w:rsidRPr="00E4449B">
        <w:rPr>
          <w:rFonts w:eastAsia="Calibri"/>
          <w:spacing w:val="-2"/>
          <w:lang w:val="en-US" w:eastAsia="en-US"/>
        </w:rPr>
        <w:t>t</w:t>
      </w:r>
      <w:r w:rsidRPr="00E4449B">
        <w:rPr>
          <w:rFonts w:eastAsia="Calibri"/>
          <w:spacing w:val="-1"/>
          <w:lang w:val="en-US" w:eastAsia="en-US"/>
        </w:rPr>
        <w:t>o</w:t>
      </w:r>
      <w:r w:rsidRPr="00E4449B">
        <w:rPr>
          <w:rFonts w:eastAsia="Calibri"/>
          <w:spacing w:val="-11"/>
          <w:lang w:val="en-US" w:eastAsia="en-US"/>
        </w:rPr>
        <w:t xml:space="preserve"> </w:t>
      </w:r>
      <w:r w:rsidRPr="00E4449B">
        <w:rPr>
          <w:rFonts w:eastAsia="Calibri"/>
          <w:spacing w:val="-2"/>
          <w:lang w:val="en-US" w:eastAsia="en-US"/>
        </w:rPr>
        <w:t>en</w:t>
      </w:r>
      <w:r w:rsidRPr="00E4449B">
        <w:rPr>
          <w:rFonts w:eastAsia="Calibri"/>
          <w:spacing w:val="-1"/>
          <w:lang w:val="en-US" w:eastAsia="en-US"/>
        </w:rPr>
        <w:t>su</w:t>
      </w:r>
      <w:r w:rsidRPr="00E4449B">
        <w:rPr>
          <w:rFonts w:eastAsia="Calibri"/>
          <w:spacing w:val="-2"/>
          <w:lang w:val="en-US" w:eastAsia="en-US"/>
        </w:rPr>
        <w:t>re</w:t>
      </w:r>
      <w:r w:rsidRPr="00E4449B">
        <w:rPr>
          <w:rFonts w:eastAsia="Calibri"/>
          <w:spacing w:val="21"/>
          <w:w w:val="92"/>
          <w:lang w:val="en-US" w:eastAsia="en-US"/>
        </w:rPr>
        <w:t xml:space="preserve"> </w:t>
      </w:r>
      <w:r w:rsidRPr="00E4449B">
        <w:rPr>
          <w:rFonts w:eastAsia="Calibri"/>
          <w:spacing w:val="-1"/>
          <w:lang w:val="en-US" w:eastAsia="en-US"/>
        </w:rPr>
        <w:t>c</w:t>
      </w:r>
      <w:r w:rsidRPr="00E4449B">
        <w:rPr>
          <w:rFonts w:eastAsia="Calibri"/>
          <w:spacing w:val="-2"/>
          <w:lang w:val="en-US" w:eastAsia="en-US"/>
        </w:rPr>
        <w:t>ommunitie</w:t>
      </w:r>
      <w:r w:rsidRPr="00E4449B">
        <w:rPr>
          <w:rFonts w:eastAsia="Calibri"/>
          <w:spacing w:val="-1"/>
          <w:lang w:val="en-US" w:eastAsia="en-US"/>
        </w:rPr>
        <w:t>s</w:t>
      </w:r>
      <w:r w:rsidRPr="00E4449B">
        <w:rPr>
          <w:rFonts w:eastAsia="Calibri"/>
          <w:spacing w:val="-7"/>
          <w:lang w:val="en-US" w:eastAsia="en-US"/>
        </w:rPr>
        <w:t xml:space="preserve"> </w:t>
      </w:r>
      <w:r w:rsidRPr="00E4449B">
        <w:rPr>
          <w:rFonts w:eastAsia="Calibri"/>
          <w:lang w:val="en-US" w:eastAsia="en-US"/>
        </w:rPr>
        <w:t>and</w:t>
      </w:r>
      <w:r w:rsidRPr="00E4449B">
        <w:rPr>
          <w:rFonts w:eastAsia="Calibri"/>
          <w:spacing w:val="-7"/>
          <w:lang w:val="en-US" w:eastAsia="en-US"/>
        </w:rPr>
        <w:t xml:space="preserve"> </w:t>
      </w:r>
      <w:r w:rsidRPr="00E4449B">
        <w:rPr>
          <w:rFonts w:eastAsia="Calibri"/>
          <w:spacing w:val="-1"/>
          <w:lang w:val="en-US" w:eastAsia="en-US"/>
        </w:rPr>
        <w:t>indi</w:t>
      </w:r>
      <w:r w:rsidRPr="00E4449B">
        <w:rPr>
          <w:rFonts w:eastAsia="Calibri"/>
          <w:spacing w:val="-2"/>
          <w:lang w:val="en-US" w:eastAsia="en-US"/>
        </w:rPr>
        <w:t>v</w:t>
      </w:r>
      <w:r w:rsidRPr="00E4449B">
        <w:rPr>
          <w:rFonts w:eastAsia="Calibri"/>
          <w:spacing w:val="-1"/>
          <w:lang w:val="en-US" w:eastAsia="en-US"/>
        </w:rPr>
        <w:t>iduals</w:t>
      </w:r>
      <w:r w:rsidRPr="00E4449B">
        <w:rPr>
          <w:rFonts w:eastAsia="Calibri"/>
          <w:spacing w:val="-7"/>
          <w:lang w:val="en-US" w:eastAsia="en-US"/>
        </w:rPr>
        <w:t xml:space="preserve"> </w:t>
      </w:r>
      <w:r w:rsidRPr="00E4449B">
        <w:rPr>
          <w:rFonts w:eastAsia="Calibri"/>
          <w:lang w:val="en-US" w:eastAsia="en-US"/>
        </w:rPr>
        <w:t>are</w:t>
      </w:r>
      <w:r w:rsidRPr="00E4449B">
        <w:rPr>
          <w:rFonts w:eastAsia="Calibri"/>
          <w:spacing w:val="-5"/>
          <w:lang w:val="en-US" w:eastAsia="en-US"/>
        </w:rPr>
        <w:t xml:space="preserve"> </w:t>
      </w:r>
      <w:r w:rsidRPr="00E4449B">
        <w:rPr>
          <w:rFonts w:eastAsia="Calibri"/>
          <w:spacing w:val="-1"/>
          <w:lang w:val="en-US" w:eastAsia="en-US"/>
        </w:rPr>
        <w:t>s</w:t>
      </w:r>
      <w:r w:rsidRPr="00E4449B">
        <w:rPr>
          <w:rFonts w:eastAsia="Calibri"/>
          <w:spacing w:val="-2"/>
          <w:lang w:val="en-US" w:eastAsia="en-US"/>
        </w:rPr>
        <w:t>afe,</w:t>
      </w:r>
      <w:r w:rsidRPr="00E4449B">
        <w:rPr>
          <w:rFonts w:eastAsia="Calibri"/>
          <w:spacing w:val="-5"/>
          <w:lang w:val="en-US" w:eastAsia="en-US"/>
        </w:rPr>
        <w:t xml:space="preserve"> </w:t>
      </w:r>
      <w:r w:rsidRPr="00E4449B">
        <w:rPr>
          <w:rFonts w:eastAsia="Calibri"/>
          <w:spacing w:val="-2"/>
          <w:lang w:val="en-US" w:eastAsia="en-US"/>
        </w:rPr>
        <w:t>thriv</w:t>
      </w:r>
      <w:r w:rsidRPr="00E4449B">
        <w:rPr>
          <w:rFonts w:eastAsia="Calibri"/>
          <w:spacing w:val="-1"/>
          <w:lang w:val="en-US" w:eastAsia="en-US"/>
        </w:rPr>
        <w:t>ing</w:t>
      </w:r>
      <w:r w:rsidRPr="00E4449B">
        <w:rPr>
          <w:rFonts w:eastAsia="Calibri"/>
          <w:spacing w:val="-5"/>
          <w:lang w:val="en-US" w:eastAsia="en-US"/>
        </w:rPr>
        <w:t xml:space="preserve"> </w:t>
      </w:r>
      <w:r w:rsidRPr="00E4449B">
        <w:rPr>
          <w:rFonts w:eastAsia="Calibri"/>
          <w:lang w:val="en-US" w:eastAsia="en-US"/>
        </w:rPr>
        <w:t>and</w:t>
      </w:r>
      <w:r w:rsidRPr="00E4449B">
        <w:rPr>
          <w:rFonts w:eastAsia="Calibri"/>
          <w:spacing w:val="-7"/>
          <w:lang w:val="en-US" w:eastAsia="en-US"/>
        </w:rPr>
        <w:t xml:space="preserve"> </w:t>
      </w:r>
      <w:r w:rsidRPr="00E4449B">
        <w:rPr>
          <w:rFonts w:eastAsia="Calibri"/>
          <w:spacing w:val="-1"/>
          <w:lang w:val="en-US" w:eastAsia="en-US"/>
        </w:rPr>
        <w:t>self</w:t>
      </w:r>
      <w:r w:rsidR="002E7B9F" w:rsidRPr="00E4449B">
        <w:rPr>
          <w:rFonts w:eastAsia="Calibri"/>
          <w:spacing w:val="35"/>
          <w:w w:val="96"/>
          <w:lang w:val="en-US" w:eastAsia="en-US"/>
        </w:rPr>
        <w:t>-</w:t>
      </w:r>
      <w:r w:rsidRPr="00E4449B">
        <w:rPr>
          <w:rFonts w:eastAsia="Calibri"/>
          <w:spacing w:val="-1"/>
          <w:lang w:val="en-US" w:eastAsia="en-US"/>
        </w:rPr>
        <w:t>empo</w:t>
      </w:r>
      <w:r w:rsidRPr="00E4449B">
        <w:rPr>
          <w:rFonts w:eastAsia="Calibri"/>
          <w:spacing w:val="-2"/>
          <w:lang w:val="en-US" w:eastAsia="en-US"/>
        </w:rPr>
        <w:t>wered</w:t>
      </w:r>
      <w:r w:rsidRPr="00E4449B">
        <w:rPr>
          <w:rFonts w:eastAsia="Calibri"/>
          <w:spacing w:val="-15"/>
          <w:lang w:val="en-US" w:eastAsia="en-US"/>
        </w:rPr>
        <w:t xml:space="preserve"> </w:t>
      </w:r>
      <w:r w:rsidRPr="00E4449B">
        <w:rPr>
          <w:rFonts w:eastAsia="Calibri"/>
          <w:spacing w:val="-2"/>
          <w:lang w:val="en-US" w:eastAsia="en-US"/>
        </w:rPr>
        <w:t>t</w:t>
      </w:r>
      <w:r w:rsidRPr="00E4449B">
        <w:rPr>
          <w:rFonts w:eastAsia="Calibri"/>
          <w:spacing w:val="-1"/>
          <w:lang w:val="en-US" w:eastAsia="en-US"/>
        </w:rPr>
        <w:t>o</w:t>
      </w:r>
      <w:r w:rsidRPr="00E4449B">
        <w:rPr>
          <w:rFonts w:eastAsia="Calibri"/>
          <w:spacing w:val="-13"/>
          <w:lang w:val="en-US" w:eastAsia="en-US"/>
        </w:rPr>
        <w:t xml:space="preserve"> </w:t>
      </w:r>
      <w:r w:rsidRPr="00E4449B">
        <w:rPr>
          <w:rFonts w:eastAsia="Calibri"/>
          <w:spacing w:val="-2"/>
          <w:lang w:val="en-US" w:eastAsia="en-US"/>
        </w:rPr>
        <w:t>m</w:t>
      </w:r>
      <w:r w:rsidRPr="00E4449B">
        <w:rPr>
          <w:rFonts w:eastAsia="Calibri"/>
          <w:spacing w:val="-1"/>
          <w:lang w:val="en-US" w:eastAsia="en-US"/>
        </w:rPr>
        <w:t>anage</w:t>
      </w:r>
      <w:r w:rsidRPr="00E4449B">
        <w:rPr>
          <w:rFonts w:eastAsia="Calibri"/>
          <w:spacing w:val="-13"/>
          <w:lang w:val="en-US" w:eastAsia="en-US"/>
        </w:rPr>
        <w:t xml:space="preserve"> </w:t>
      </w:r>
      <w:r w:rsidRPr="00E4449B">
        <w:rPr>
          <w:rFonts w:eastAsia="Calibri"/>
          <w:lang w:val="en-US" w:eastAsia="en-US"/>
        </w:rPr>
        <w:t>and</w:t>
      </w:r>
      <w:r w:rsidRPr="00E4449B">
        <w:rPr>
          <w:rFonts w:eastAsia="Calibri"/>
          <w:spacing w:val="-14"/>
          <w:lang w:val="en-US" w:eastAsia="en-US"/>
        </w:rPr>
        <w:t xml:space="preserve"> </w:t>
      </w:r>
      <w:r w:rsidRPr="00E4449B">
        <w:rPr>
          <w:rFonts w:eastAsia="Calibri"/>
          <w:spacing w:val="-1"/>
          <w:lang w:val="en-US" w:eastAsia="en-US"/>
        </w:rPr>
        <w:t>reduc</w:t>
      </w:r>
      <w:r w:rsidRPr="00E4449B">
        <w:rPr>
          <w:rFonts w:eastAsia="Calibri"/>
          <w:spacing w:val="-2"/>
          <w:lang w:val="en-US" w:eastAsia="en-US"/>
        </w:rPr>
        <w:t>e</w:t>
      </w:r>
      <w:r w:rsidRPr="00E4449B">
        <w:rPr>
          <w:rFonts w:eastAsia="Calibri"/>
          <w:spacing w:val="-13"/>
          <w:lang w:val="en-US" w:eastAsia="en-US"/>
        </w:rPr>
        <w:t xml:space="preserve"> </w:t>
      </w:r>
      <w:r w:rsidRPr="00E4449B">
        <w:rPr>
          <w:rFonts w:eastAsia="Calibri"/>
          <w:spacing w:val="-1"/>
          <w:lang w:val="en-US" w:eastAsia="en-US"/>
        </w:rPr>
        <w:t>alcoho</w:t>
      </w:r>
      <w:r w:rsidRPr="00E4449B">
        <w:rPr>
          <w:rFonts w:eastAsia="Calibri"/>
          <w:spacing w:val="-2"/>
          <w:lang w:val="en-US" w:eastAsia="en-US"/>
        </w:rPr>
        <w:t>l-rel</w:t>
      </w:r>
      <w:r w:rsidRPr="00E4449B">
        <w:rPr>
          <w:rFonts w:eastAsia="Calibri"/>
          <w:spacing w:val="-1"/>
          <w:lang w:val="en-US" w:eastAsia="en-US"/>
        </w:rPr>
        <w:t>ated</w:t>
      </w:r>
      <w:r w:rsidRPr="00E4449B">
        <w:rPr>
          <w:rFonts w:eastAsia="Calibri"/>
          <w:spacing w:val="-15"/>
          <w:lang w:val="en-US" w:eastAsia="en-US"/>
        </w:rPr>
        <w:t xml:space="preserve"> </w:t>
      </w:r>
      <w:r w:rsidRPr="00E4449B">
        <w:rPr>
          <w:rFonts w:eastAsia="Calibri"/>
          <w:spacing w:val="-1"/>
          <w:lang w:val="en-US" w:eastAsia="en-US"/>
        </w:rPr>
        <w:t>h</w:t>
      </w:r>
      <w:r w:rsidRPr="00E4449B">
        <w:rPr>
          <w:rFonts w:eastAsia="Calibri"/>
          <w:spacing w:val="-2"/>
          <w:lang w:val="en-US" w:eastAsia="en-US"/>
        </w:rPr>
        <w:t>arm.</w:t>
      </w:r>
      <w:r w:rsidRPr="00E4449B">
        <w:rPr>
          <w:rFonts w:eastAsia="Calibri"/>
          <w:spacing w:val="-16"/>
          <w:lang w:val="en-US" w:eastAsia="en-US"/>
        </w:rPr>
        <w:t xml:space="preserve"> </w:t>
      </w:r>
      <w:r w:rsidRPr="00E4449B">
        <w:rPr>
          <w:rFonts w:eastAsia="Calibri"/>
          <w:spacing w:val="-2"/>
          <w:lang w:val="en-US" w:eastAsia="en-US"/>
        </w:rPr>
        <w:t>Thi</w:t>
      </w:r>
      <w:r w:rsidRPr="00E4449B">
        <w:rPr>
          <w:rFonts w:eastAsia="Calibri"/>
          <w:spacing w:val="-1"/>
          <w:lang w:val="en-US" w:eastAsia="en-US"/>
        </w:rPr>
        <w:t>s</w:t>
      </w:r>
      <w:r w:rsidRPr="00E4449B">
        <w:rPr>
          <w:rFonts w:eastAsia="Calibri"/>
          <w:spacing w:val="51"/>
          <w:w w:val="110"/>
          <w:lang w:val="en-US" w:eastAsia="en-US"/>
        </w:rPr>
        <w:t xml:space="preserve"> </w:t>
      </w:r>
      <w:r w:rsidRPr="00E4449B">
        <w:rPr>
          <w:rFonts w:eastAsia="Calibri"/>
          <w:spacing w:val="-1"/>
          <w:lang w:val="en-US" w:eastAsia="en-US"/>
        </w:rPr>
        <w:t>ap</w:t>
      </w:r>
      <w:r w:rsidRPr="00E4449B">
        <w:rPr>
          <w:rFonts w:eastAsia="Calibri"/>
          <w:spacing w:val="-2"/>
          <w:lang w:val="en-US" w:eastAsia="en-US"/>
        </w:rPr>
        <w:t>pr</w:t>
      </w:r>
      <w:r w:rsidRPr="00E4449B">
        <w:rPr>
          <w:rFonts w:eastAsia="Calibri"/>
          <w:spacing w:val="-1"/>
          <w:lang w:val="en-US" w:eastAsia="en-US"/>
        </w:rPr>
        <w:t>oach</w:t>
      </w:r>
      <w:r w:rsidRPr="00E4449B">
        <w:rPr>
          <w:rFonts w:eastAsia="Calibri"/>
          <w:spacing w:val="-12"/>
          <w:lang w:val="en-US" w:eastAsia="en-US"/>
        </w:rPr>
        <w:t xml:space="preserve"> </w:t>
      </w:r>
      <w:r w:rsidRPr="00E4449B">
        <w:rPr>
          <w:rFonts w:eastAsia="Calibri"/>
          <w:spacing w:val="-1"/>
          <w:lang w:val="en-US" w:eastAsia="en-US"/>
        </w:rPr>
        <w:t>c</w:t>
      </w:r>
      <w:r w:rsidRPr="00E4449B">
        <w:rPr>
          <w:rFonts w:eastAsia="Calibri"/>
          <w:spacing w:val="-2"/>
          <w:lang w:val="en-US" w:eastAsia="en-US"/>
        </w:rPr>
        <w:t>ontinue</w:t>
      </w:r>
      <w:r w:rsidRPr="00E4449B">
        <w:rPr>
          <w:rFonts w:eastAsia="Calibri"/>
          <w:spacing w:val="-1"/>
          <w:lang w:val="en-US" w:eastAsia="en-US"/>
        </w:rPr>
        <w:t>s</w:t>
      </w:r>
      <w:r w:rsidRPr="00E4449B">
        <w:rPr>
          <w:rFonts w:eastAsia="Calibri"/>
          <w:spacing w:val="-14"/>
          <w:lang w:val="en-US" w:eastAsia="en-US"/>
        </w:rPr>
        <w:t xml:space="preserve"> </w:t>
      </w:r>
      <w:r w:rsidRPr="00E4449B">
        <w:rPr>
          <w:rFonts w:eastAsia="Calibri"/>
          <w:spacing w:val="-2"/>
          <w:lang w:val="en-US" w:eastAsia="en-US"/>
        </w:rPr>
        <w:t>t</w:t>
      </w:r>
      <w:r w:rsidRPr="00E4449B">
        <w:rPr>
          <w:rFonts w:eastAsia="Calibri"/>
          <w:spacing w:val="-1"/>
          <w:lang w:val="en-US" w:eastAsia="en-US"/>
        </w:rPr>
        <w:t>o</w:t>
      </w:r>
      <w:r w:rsidRPr="00E4449B">
        <w:rPr>
          <w:rFonts w:eastAsia="Calibri"/>
          <w:spacing w:val="-12"/>
          <w:lang w:val="en-US" w:eastAsia="en-US"/>
        </w:rPr>
        <w:t xml:space="preserve"> </w:t>
      </w:r>
      <w:r w:rsidRPr="00E4449B">
        <w:rPr>
          <w:rFonts w:eastAsia="Calibri"/>
          <w:spacing w:val="-1"/>
          <w:lang w:val="en-US" w:eastAsia="en-US"/>
        </w:rPr>
        <w:t xml:space="preserve">be </w:t>
      </w:r>
      <w:r w:rsidRPr="00E4449B">
        <w:rPr>
          <w:rFonts w:eastAsia="Calibri"/>
          <w:spacing w:val="-2"/>
          <w:lang w:val="en-US" w:eastAsia="en-US"/>
        </w:rPr>
        <w:t>t</w:t>
      </w:r>
      <w:r w:rsidRPr="00E4449B">
        <w:rPr>
          <w:rFonts w:eastAsia="Calibri"/>
          <w:spacing w:val="-1"/>
          <w:lang w:val="en-US" w:eastAsia="en-US"/>
        </w:rPr>
        <w:t>ai</w:t>
      </w:r>
      <w:r w:rsidRPr="00E4449B">
        <w:rPr>
          <w:rFonts w:eastAsia="Calibri"/>
          <w:spacing w:val="-2"/>
          <w:lang w:val="en-US" w:eastAsia="en-US"/>
        </w:rPr>
        <w:t>lored</w:t>
      </w:r>
      <w:r w:rsidRPr="00E4449B">
        <w:rPr>
          <w:rFonts w:eastAsia="Calibri"/>
          <w:spacing w:val="-9"/>
          <w:lang w:val="en-US" w:eastAsia="en-US"/>
        </w:rPr>
        <w:t xml:space="preserve"> </w:t>
      </w:r>
      <w:r w:rsidRPr="00E4449B">
        <w:rPr>
          <w:rFonts w:eastAsia="Calibri"/>
          <w:spacing w:val="-2"/>
          <w:lang w:val="en-US" w:eastAsia="en-US"/>
        </w:rPr>
        <w:t>t</w:t>
      </w:r>
      <w:r w:rsidRPr="00E4449B">
        <w:rPr>
          <w:rFonts w:eastAsia="Calibri"/>
          <w:spacing w:val="-1"/>
          <w:lang w:val="en-US" w:eastAsia="en-US"/>
        </w:rPr>
        <w:t>o</w:t>
      </w:r>
      <w:r w:rsidRPr="00E4449B">
        <w:rPr>
          <w:rFonts w:eastAsia="Calibri"/>
          <w:spacing w:val="-7"/>
          <w:lang w:val="en-US" w:eastAsia="en-US"/>
        </w:rPr>
        <w:t xml:space="preserve"> </w:t>
      </w:r>
      <w:r w:rsidRPr="00E4449B">
        <w:rPr>
          <w:rFonts w:eastAsia="Calibri"/>
          <w:lang w:val="en-US" w:eastAsia="en-US"/>
        </w:rPr>
        <w:t>the</w:t>
      </w:r>
      <w:r w:rsidRPr="00E4449B">
        <w:rPr>
          <w:rFonts w:eastAsia="Calibri"/>
          <w:spacing w:val="-8"/>
          <w:lang w:val="en-US" w:eastAsia="en-US"/>
        </w:rPr>
        <w:t xml:space="preserve"> </w:t>
      </w:r>
      <w:r w:rsidRPr="00E4449B">
        <w:rPr>
          <w:rFonts w:eastAsia="Calibri"/>
          <w:spacing w:val="-1"/>
          <w:lang w:val="en-US" w:eastAsia="en-US"/>
        </w:rPr>
        <w:t>unique</w:t>
      </w:r>
      <w:r w:rsidRPr="00E4449B">
        <w:rPr>
          <w:rFonts w:eastAsia="Calibri"/>
          <w:spacing w:val="-7"/>
          <w:lang w:val="en-US" w:eastAsia="en-US"/>
        </w:rPr>
        <w:t xml:space="preserve"> </w:t>
      </w:r>
      <w:r w:rsidRPr="00E4449B">
        <w:rPr>
          <w:rFonts w:eastAsia="Calibri"/>
          <w:spacing w:val="-1"/>
          <w:lang w:val="en-US" w:eastAsia="en-US"/>
        </w:rPr>
        <w:t>ch</w:t>
      </w:r>
      <w:r w:rsidRPr="00E4449B">
        <w:rPr>
          <w:rFonts w:eastAsia="Calibri"/>
          <w:spacing w:val="-2"/>
          <w:lang w:val="en-US" w:eastAsia="en-US"/>
        </w:rPr>
        <w:t>aracteri</w:t>
      </w:r>
      <w:r w:rsidRPr="00E4449B">
        <w:rPr>
          <w:rFonts w:eastAsia="Calibri"/>
          <w:spacing w:val="-1"/>
          <w:lang w:val="en-US" w:eastAsia="en-US"/>
        </w:rPr>
        <w:t>s</w:t>
      </w:r>
      <w:r w:rsidRPr="00E4449B">
        <w:rPr>
          <w:rFonts w:eastAsia="Calibri"/>
          <w:spacing w:val="-2"/>
          <w:lang w:val="en-US" w:eastAsia="en-US"/>
        </w:rPr>
        <w:t>tic</w:t>
      </w:r>
      <w:r w:rsidRPr="00E4449B">
        <w:rPr>
          <w:rFonts w:eastAsia="Calibri"/>
          <w:spacing w:val="-1"/>
          <w:lang w:val="en-US" w:eastAsia="en-US"/>
        </w:rPr>
        <w:t>s</w:t>
      </w:r>
      <w:r w:rsidRPr="00E4449B">
        <w:rPr>
          <w:rFonts w:eastAsia="Calibri"/>
          <w:spacing w:val="-9"/>
          <w:lang w:val="en-US" w:eastAsia="en-US"/>
        </w:rPr>
        <w:t xml:space="preserve"> </w:t>
      </w:r>
      <w:r w:rsidRPr="00E4449B">
        <w:rPr>
          <w:rFonts w:eastAsia="Calibri"/>
          <w:lang w:val="en-US" w:eastAsia="en-US"/>
        </w:rPr>
        <w:t>and</w:t>
      </w:r>
      <w:r w:rsidRPr="00E4449B">
        <w:rPr>
          <w:rFonts w:eastAsia="Calibri"/>
          <w:spacing w:val="-8"/>
          <w:lang w:val="en-US" w:eastAsia="en-US"/>
        </w:rPr>
        <w:t xml:space="preserve"> </w:t>
      </w:r>
      <w:r w:rsidRPr="00E4449B">
        <w:rPr>
          <w:rFonts w:eastAsia="Calibri"/>
          <w:spacing w:val="-1"/>
          <w:lang w:val="en-US" w:eastAsia="en-US"/>
        </w:rPr>
        <w:t>asp</w:t>
      </w:r>
      <w:r w:rsidRPr="00E4449B">
        <w:rPr>
          <w:rFonts w:eastAsia="Calibri"/>
          <w:spacing w:val="-2"/>
          <w:lang w:val="en-US" w:eastAsia="en-US"/>
        </w:rPr>
        <w:t>iration</w:t>
      </w:r>
      <w:r w:rsidRPr="00E4449B">
        <w:rPr>
          <w:rFonts w:eastAsia="Calibri"/>
          <w:spacing w:val="-1"/>
          <w:lang w:val="en-US" w:eastAsia="en-US"/>
        </w:rPr>
        <w:t>s</w:t>
      </w:r>
      <w:r w:rsidRPr="00E4449B">
        <w:rPr>
          <w:rFonts w:eastAsia="Calibri"/>
          <w:spacing w:val="-9"/>
          <w:lang w:val="en-US" w:eastAsia="en-US"/>
        </w:rPr>
        <w:t xml:space="preserve"> </w:t>
      </w:r>
      <w:r w:rsidRPr="00E4449B">
        <w:rPr>
          <w:rFonts w:eastAsia="Calibri"/>
          <w:lang w:val="en-US" w:eastAsia="en-US"/>
        </w:rPr>
        <w:t>of</w:t>
      </w:r>
      <w:r w:rsidRPr="00E4449B">
        <w:rPr>
          <w:rFonts w:eastAsia="Calibri"/>
          <w:spacing w:val="-9"/>
          <w:lang w:val="en-US" w:eastAsia="en-US"/>
        </w:rPr>
        <w:t xml:space="preserve"> </w:t>
      </w:r>
      <w:r w:rsidRPr="00E4449B">
        <w:rPr>
          <w:rFonts w:eastAsia="Calibri"/>
          <w:spacing w:val="-2"/>
          <w:lang w:val="en-US" w:eastAsia="en-US"/>
        </w:rPr>
        <w:t>e</w:t>
      </w:r>
      <w:r w:rsidRPr="00E4449B">
        <w:rPr>
          <w:rFonts w:eastAsia="Calibri"/>
          <w:spacing w:val="-1"/>
          <w:lang w:val="en-US" w:eastAsia="en-US"/>
        </w:rPr>
        <w:t>ach</w:t>
      </w:r>
      <w:r w:rsidR="008E00EF" w:rsidRPr="00E4449B">
        <w:rPr>
          <w:rFonts w:eastAsia="Calibri"/>
          <w:spacing w:val="35"/>
          <w:w w:val="99"/>
          <w:lang w:val="en-US" w:eastAsia="en-US"/>
        </w:rPr>
        <w:t xml:space="preserve"> </w:t>
      </w:r>
      <w:r w:rsidRPr="00E4449B">
        <w:rPr>
          <w:rFonts w:eastAsia="Calibri"/>
          <w:spacing w:val="-1"/>
          <w:lang w:val="en-US" w:eastAsia="en-US"/>
        </w:rPr>
        <w:t>c</w:t>
      </w:r>
      <w:r w:rsidRPr="00E4449B">
        <w:rPr>
          <w:rFonts w:eastAsia="Calibri"/>
          <w:spacing w:val="-2"/>
          <w:lang w:val="en-US" w:eastAsia="en-US"/>
        </w:rPr>
        <w:t>ommunity.</w:t>
      </w:r>
    </w:p>
    <w:p w14:paraId="2CACCE17" w14:textId="0D3753B4" w:rsidR="005E5AD9" w:rsidRPr="00E4449B" w:rsidRDefault="005E5AD9" w:rsidP="00D21656">
      <w:pPr>
        <w:pStyle w:val="Heading4"/>
      </w:pPr>
      <w:r w:rsidRPr="00E4449B">
        <w:rPr>
          <w:spacing w:val="-2"/>
          <w:w w:val="105"/>
        </w:rPr>
        <w:t>Key</w:t>
      </w:r>
      <w:r w:rsidRPr="00E4449B">
        <w:rPr>
          <w:spacing w:val="30"/>
          <w:w w:val="105"/>
        </w:rPr>
        <w:t xml:space="preserve"> </w:t>
      </w:r>
      <w:r w:rsidRPr="00E4449B">
        <w:rPr>
          <w:w w:val="105"/>
        </w:rPr>
        <w:t>achievements</w:t>
      </w:r>
    </w:p>
    <w:p w14:paraId="7C6B166D" w14:textId="61B44268" w:rsidR="005E5AD9" w:rsidRPr="00E4449B" w:rsidRDefault="00810223" w:rsidP="00D83B53">
      <w:pPr>
        <w:rPr>
          <w:rFonts w:eastAsia="Calibri"/>
          <w:lang w:val="en-US" w:eastAsia="en-US"/>
        </w:rPr>
      </w:pPr>
      <w:r w:rsidRPr="00E4449B">
        <w:rPr>
          <w:rFonts w:eastAsia="Calibri"/>
          <w:lang w:val="en-US" w:eastAsia="en-US"/>
        </w:rPr>
        <w:t>During the reporting period, t</w:t>
      </w:r>
      <w:r w:rsidR="005E5AD9" w:rsidRPr="00E4449B">
        <w:rPr>
          <w:rFonts w:eastAsia="Calibri"/>
          <w:lang w:val="en-US" w:eastAsia="en-US"/>
        </w:rPr>
        <w:t>he</w:t>
      </w:r>
      <w:r w:rsidR="005E5AD9" w:rsidRPr="00E4449B">
        <w:rPr>
          <w:rFonts w:eastAsia="Calibri"/>
          <w:spacing w:val="-14"/>
          <w:lang w:val="en-US" w:eastAsia="en-US"/>
        </w:rPr>
        <w:t xml:space="preserve"> </w:t>
      </w:r>
      <w:r w:rsidR="005E5AD9" w:rsidRPr="00E4449B">
        <w:rPr>
          <w:rFonts w:eastAsia="Calibri"/>
          <w:spacing w:val="-1"/>
          <w:lang w:val="en-US" w:eastAsia="en-US"/>
        </w:rPr>
        <w:t>dep</w:t>
      </w:r>
      <w:r w:rsidR="005E5AD9" w:rsidRPr="00E4449B">
        <w:rPr>
          <w:rFonts w:eastAsia="Calibri"/>
          <w:spacing w:val="-2"/>
          <w:lang w:val="en-US" w:eastAsia="en-US"/>
        </w:rPr>
        <w:t>artment:</w:t>
      </w:r>
    </w:p>
    <w:p w14:paraId="4AC5E8B4" w14:textId="4A420022" w:rsidR="00E74CA6" w:rsidRPr="00E4449B" w:rsidRDefault="00AE156F" w:rsidP="00D83B53">
      <w:pPr>
        <w:pStyle w:val="ListBullet"/>
      </w:pPr>
      <w:r w:rsidRPr="00E4449B">
        <w:t>supported communities with Alcohol Management Plans to develop their local capability to plan and deliver solutions to achieve community aspirations, including finalising 13</w:t>
      </w:r>
      <w:r w:rsidR="006409EF" w:rsidRPr="00E4449B">
        <w:t xml:space="preserve"> of the 15</w:t>
      </w:r>
      <w:r w:rsidRPr="00E4449B">
        <w:t xml:space="preserve"> </w:t>
      </w:r>
      <w:r w:rsidR="001B0E4A" w:rsidRPr="00E4449B">
        <w:t>locally led</w:t>
      </w:r>
      <w:r w:rsidRPr="00E4449B">
        <w:t xml:space="preserve"> </w:t>
      </w:r>
      <w:r w:rsidR="005015A4">
        <w:t>c</w:t>
      </w:r>
      <w:r w:rsidRPr="00E4449B">
        <w:t xml:space="preserve">ommunity </w:t>
      </w:r>
      <w:r w:rsidR="005015A4">
        <w:t>s</w:t>
      </w:r>
      <w:r w:rsidRPr="00E4449B">
        <w:t xml:space="preserve">afety </w:t>
      </w:r>
      <w:r w:rsidR="005015A4">
        <w:t>p</w:t>
      </w:r>
      <w:r w:rsidRPr="00E4449B">
        <w:t>lans by 30 June 2021</w:t>
      </w:r>
    </w:p>
    <w:p w14:paraId="58C47AA7" w14:textId="29555C62" w:rsidR="00AE156F" w:rsidRPr="00E4449B" w:rsidRDefault="00AE156F" w:rsidP="00D83B53">
      <w:pPr>
        <w:pStyle w:val="ListBullet"/>
      </w:pPr>
      <w:r w:rsidRPr="00E4449B">
        <w:t>implemented legislative and regulatory amendments to address community concerns and aspirations, and the complexities resulting from the COVID-19 pandemic</w:t>
      </w:r>
    </w:p>
    <w:p w14:paraId="7867A69C" w14:textId="1973EFB9" w:rsidR="005E5AD9" w:rsidRPr="00E4449B" w:rsidRDefault="00AE156F" w:rsidP="00D83B53">
      <w:pPr>
        <w:pStyle w:val="ListBullet"/>
      </w:pPr>
      <w:r w:rsidRPr="00E4449B">
        <w:t>allocated funding of $4.275</w:t>
      </w:r>
      <w:r w:rsidR="00810223" w:rsidRPr="00E4449B">
        <w:t xml:space="preserve"> million</w:t>
      </w:r>
      <w:r w:rsidRPr="00E4449B">
        <w:t xml:space="preserve"> across 15 communities towards the development, implementation and monitoring of community safety plans and service enhancement</w:t>
      </w:r>
      <w:r w:rsidR="005E5AD9" w:rsidRPr="00E4449B">
        <w:t>.</w:t>
      </w:r>
    </w:p>
    <w:p w14:paraId="46389D43" w14:textId="77777777" w:rsidR="005E5AD9" w:rsidRPr="00E4449B" w:rsidRDefault="005E5AD9" w:rsidP="007524AB">
      <w:pPr>
        <w:pStyle w:val="Heading3"/>
      </w:pPr>
      <w:bookmarkStart w:id="36" w:name="_Toc67046719"/>
      <w:bookmarkStart w:id="37" w:name="_Toc78287371"/>
      <w:bookmarkStart w:id="38" w:name="_Toc78355778"/>
      <w:bookmarkStart w:id="39" w:name="_Hlk78192691"/>
      <w:bookmarkEnd w:id="35"/>
      <w:r w:rsidRPr="00E4449B">
        <w:t>Supporting safe communities</w:t>
      </w:r>
      <w:bookmarkEnd w:id="36"/>
      <w:bookmarkEnd w:id="37"/>
      <w:bookmarkEnd w:id="38"/>
    </w:p>
    <w:p w14:paraId="4566EEAF" w14:textId="3EB24BC8" w:rsidR="002A4A6F" w:rsidRPr="00E4449B" w:rsidRDefault="002A4A6F" w:rsidP="00D83B53">
      <w:pPr>
        <w:rPr>
          <w:rFonts w:eastAsia="Calibri"/>
          <w:lang w:val="en-US" w:eastAsia="en-US"/>
        </w:rPr>
      </w:pPr>
      <w:r w:rsidRPr="00E4449B">
        <w:rPr>
          <w:rFonts w:eastAsia="Calibri"/>
          <w:lang w:val="en-US" w:eastAsia="en-US"/>
        </w:rPr>
        <w:t>The department is working with</w:t>
      </w:r>
      <w:r w:rsidR="00810223" w:rsidRPr="00E4449B">
        <w:rPr>
          <w:rFonts w:eastAsia="Calibri"/>
          <w:lang w:val="en-US" w:eastAsia="en-US"/>
        </w:rPr>
        <w:t xml:space="preserve"> the</w:t>
      </w:r>
      <w:r w:rsidRPr="00E4449B">
        <w:rPr>
          <w:rFonts w:eastAsia="Calibri"/>
          <w:lang w:val="en-US" w:eastAsia="en-US"/>
        </w:rPr>
        <w:t xml:space="preserve"> Department of Justice and Attorney-General to implement the Queensland Government's response to the </w:t>
      </w:r>
      <w:r w:rsidRPr="00E4449B">
        <w:rPr>
          <w:rFonts w:eastAsia="Calibri"/>
          <w:i/>
          <w:lang w:val="en-US" w:eastAsia="en-US"/>
        </w:rPr>
        <w:t>Not Now Not Ever: Putting an End to Domestic and Family Violence in Queensland</w:t>
      </w:r>
      <w:r w:rsidRPr="00E4449B">
        <w:rPr>
          <w:rFonts w:eastAsia="Calibri"/>
          <w:lang w:val="en-US" w:eastAsia="en-US"/>
        </w:rPr>
        <w:t xml:space="preserve"> report to ensure government</w:t>
      </w:r>
      <w:r w:rsidR="00810223" w:rsidRPr="00E4449B">
        <w:rPr>
          <w:rFonts w:eastAsia="Calibri"/>
          <w:lang w:val="en-US" w:eastAsia="en-US"/>
        </w:rPr>
        <w:t>-</w:t>
      </w:r>
      <w:r w:rsidRPr="00E4449B">
        <w:rPr>
          <w:rFonts w:eastAsia="Calibri"/>
          <w:lang w:val="en-US" w:eastAsia="en-US"/>
        </w:rPr>
        <w:t>funded services provide inclusion and equity of access to meet the needs of Aboriginal and Torres Strait Islander families and communities</w:t>
      </w:r>
      <w:r w:rsidR="00810223" w:rsidRPr="00E4449B">
        <w:rPr>
          <w:rFonts w:eastAsia="Calibri"/>
          <w:lang w:val="en-US" w:eastAsia="en-US"/>
        </w:rPr>
        <w:t xml:space="preserve">. This includes </w:t>
      </w:r>
      <w:r w:rsidRPr="00E4449B">
        <w:rPr>
          <w:rFonts w:eastAsia="Calibri"/>
          <w:lang w:val="en-US" w:eastAsia="en-US"/>
        </w:rPr>
        <w:t>support for two discrete Aboriginal and Torres Strait Islander communities to develop action plans</w:t>
      </w:r>
      <w:r w:rsidR="00810223" w:rsidRPr="00E4449B">
        <w:rPr>
          <w:rFonts w:eastAsia="Calibri"/>
          <w:lang w:val="en-US" w:eastAsia="en-US"/>
        </w:rPr>
        <w:t>,</w:t>
      </w:r>
      <w:r w:rsidRPr="00E4449B">
        <w:rPr>
          <w:rFonts w:eastAsia="Calibri"/>
          <w:lang w:val="en-US" w:eastAsia="en-US"/>
        </w:rPr>
        <w:t xml:space="preserve"> and one community to develop a social reinvestment project to celebrate strong families and address domestic and family violence.</w:t>
      </w:r>
    </w:p>
    <w:p w14:paraId="50DE6DBE" w14:textId="5640BD9B" w:rsidR="002A4A6F" w:rsidRPr="00E4449B" w:rsidRDefault="002A4A6F" w:rsidP="00D83B53">
      <w:pPr>
        <w:rPr>
          <w:rFonts w:eastAsia="Calibri"/>
          <w:lang w:val="en-US" w:eastAsia="en-US"/>
        </w:rPr>
      </w:pPr>
      <w:r w:rsidRPr="00E4449B">
        <w:rPr>
          <w:rFonts w:eastAsia="Calibri"/>
          <w:lang w:val="en-US" w:eastAsia="en-US"/>
        </w:rPr>
        <w:t>The department is</w:t>
      </w:r>
      <w:r w:rsidR="00810223" w:rsidRPr="00E4449B">
        <w:rPr>
          <w:rFonts w:eastAsia="Calibri"/>
          <w:lang w:val="en-US" w:eastAsia="en-US"/>
        </w:rPr>
        <w:t xml:space="preserve"> also wor</w:t>
      </w:r>
      <w:r w:rsidRPr="00E4449B">
        <w:rPr>
          <w:rFonts w:eastAsia="Calibri"/>
          <w:lang w:val="en-US" w:eastAsia="en-US"/>
        </w:rPr>
        <w:t xml:space="preserve">king with </w:t>
      </w:r>
      <w:r w:rsidR="006409EF" w:rsidRPr="00E4449B">
        <w:rPr>
          <w:rFonts w:eastAsia="Calibri"/>
          <w:lang w:val="en-US" w:eastAsia="en-US"/>
        </w:rPr>
        <w:t xml:space="preserve">the </w:t>
      </w:r>
      <w:r w:rsidRPr="00E4449B">
        <w:rPr>
          <w:rFonts w:eastAsia="Calibri"/>
          <w:lang w:val="en-US" w:eastAsia="en-US"/>
        </w:rPr>
        <w:t>Department of Justice and Attorney-General</w:t>
      </w:r>
      <w:r w:rsidR="00810223" w:rsidRPr="00E4449B">
        <w:rPr>
          <w:rFonts w:eastAsia="Calibri"/>
          <w:lang w:val="en-US" w:eastAsia="en-US"/>
        </w:rPr>
        <w:t>,</w:t>
      </w:r>
      <w:r w:rsidRPr="00E4449B">
        <w:rPr>
          <w:rFonts w:eastAsia="Calibri"/>
          <w:lang w:val="en-US" w:eastAsia="en-US"/>
        </w:rPr>
        <w:t xml:space="preserve"> and other agencies and communities</w:t>
      </w:r>
      <w:r w:rsidR="00810223" w:rsidRPr="00E4449B">
        <w:rPr>
          <w:rFonts w:eastAsia="Calibri"/>
          <w:lang w:val="en-US" w:eastAsia="en-US"/>
        </w:rPr>
        <w:t>,</w:t>
      </w:r>
      <w:r w:rsidRPr="00E4449B">
        <w:rPr>
          <w:rFonts w:eastAsia="Calibri"/>
          <w:lang w:val="en-US" w:eastAsia="en-US"/>
        </w:rPr>
        <w:t xml:space="preserve"> to implement </w:t>
      </w:r>
      <w:r w:rsidRPr="00E4449B">
        <w:rPr>
          <w:rFonts w:eastAsia="Calibri"/>
          <w:i/>
          <w:lang w:val="en-US" w:eastAsia="en-US"/>
        </w:rPr>
        <w:t xml:space="preserve">Queensland’s Framework for Action – Reshaping our Approach to Aboriginal and Torres Strait Islander Domestic and Family Violence </w:t>
      </w:r>
      <w:r w:rsidRPr="00E4449B">
        <w:rPr>
          <w:rFonts w:eastAsia="Calibri"/>
          <w:lang w:val="en-US" w:eastAsia="en-US"/>
        </w:rPr>
        <w:t xml:space="preserve">to respond to Recommendation 20 from the </w:t>
      </w:r>
      <w:r w:rsidRPr="00E4449B">
        <w:rPr>
          <w:rFonts w:eastAsia="Calibri"/>
          <w:i/>
          <w:lang w:val="en-US" w:eastAsia="en-US"/>
        </w:rPr>
        <w:t>Domestic and Family Violence Death Review and Advisory Board Annual Report 2016-2017</w:t>
      </w:r>
      <w:r w:rsidRPr="00E4449B">
        <w:rPr>
          <w:rFonts w:eastAsia="Calibri"/>
          <w:lang w:val="en-US" w:eastAsia="en-US"/>
        </w:rPr>
        <w:t>, which called for a specific strategy to address family violence issues experienced by Aboriginal and Torres Strait Islander families and communities.</w:t>
      </w:r>
    </w:p>
    <w:p w14:paraId="23DDEA6F" w14:textId="727ECA59" w:rsidR="002A4A6F" w:rsidRPr="00E4449B" w:rsidRDefault="002A4A6F" w:rsidP="00D83B53">
      <w:pPr>
        <w:rPr>
          <w:rFonts w:eastAsia="Calibri"/>
          <w:lang w:val="en-US" w:eastAsia="en-US"/>
        </w:rPr>
      </w:pPr>
      <w:r w:rsidRPr="00E4449B">
        <w:rPr>
          <w:rFonts w:eastAsia="Calibri"/>
          <w:lang w:val="en-US" w:eastAsia="en-US"/>
        </w:rPr>
        <w:t>This strategy continues to</w:t>
      </w:r>
      <w:r w:rsidR="00C64D93" w:rsidRPr="00E4449B">
        <w:rPr>
          <w:rFonts w:eastAsia="Calibri"/>
          <w:lang w:val="en-US" w:eastAsia="en-US"/>
        </w:rPr>
        <w:t xml:space="preserve"> support the provision of </w:t>
      </w:r>
      <w:r w:rsidRPr="00E4449B">
        <w:rPr>
          <w:rFonts w:eastAsia="Calibri"/>
          <w:lang w:val="en-US" w:eastAsia="en-US"/>
        </w:rPr>
        <w:t>cultural advice and support to the domestic and family violence high risk teams for an integrated service response through the specialist senior project officers in Cherbourg, Mount Isa, Logan/</w:t>
      </w:r>
      <w:proofErr w:type="spellStart"/>
      <w:r w:rsidRPr="00E4449B">
        <w:rPr>
          <w:rFonts w:eastAsia="Calibri"/>
          <w:lang w:val="en-US" w:eastAsia="en-US"/>
        </w:rPr>
        <w:t>Beenleigh</w:t>
      </w:r>
      <w:proofErr w:type="spellEnd"/>
      <w:r w:rsidRPr="00E4449B">
        <w:rPr>
          <w:rFonts w:eastAsia="Calibri"/>
          <w:lang w:val="en-US" w:eastAsia="en-US"/>
        </w:rPr>
        <w:t>, Ipswich, North Brisbane, Cairns, Caboolture and Mackay.</w:t>
      </w:r>
    </w:p>
    <w:p w14:paraId="77FF5A15" w14:textId="77777777" w:rsidR="005E5AD9" w:rsidRPr="00E4449B" w:rsidRDefault="005E5AD9" w:rsidP="00D21656">
      <w:pPr>
        <w:pStyle w:val="Heading4"/>
      </w:pPr>
      <w:r w:rsidRPr="00E4449B">
        <w:t>Key achievements</w:t>
      </w:r>
    </w:p>
    <w:p w14:paraId="1A2FC866" w14:textId="7D9655CE" w:rsidR="005E5AD9" w:rsidRPr="00E4449B" w:rsidRDefault="00C64D93" w:rsidP="00D83B53">
      <w:pPr>
        <w:rPr>
          <w:rFonts w:eastAsia="Calibri"/>
          <w:lang w:val="en-US" w:eastAsia="en-US"/>
        </w:rPr>
      </w:pPr>
      <w:r w:rsidRPr="00E4449B">
        <w:rPr>
          <w:rFonts w:eastAsia="Calibri"/>
          <w:lang w:val="en-US" w:eastAsia="en-US"/>
        </w:rPr>
        <w:t>During the reporting period, t</w:t>
      </w:r>
      <w:r w:rsidR="005E5AD9" w:rsidRPr="00E4449B">
        <w:rPr>
          <w:rFonts w:eastAsia="Calibri"/>
          <w:lang w:val="en-US" w:eastAsia="en-US"/>
        </w:rPr>
        <w:t>he department:</w:t>
      </w:r>
    </w:p>
    <w:p w14:paraId="53FFF5D0" w14:textId="54232A5E" w:rsidR="007E08FD" w:rsidRPr="00E4449B" w:rsidRDefault="007E08FD" w:rsidP="00D83B53">
      <w:pPr>
        <w:pStyle w:val="ListBullet"/>
        <w:rPr>
          <w:rFonts w:eastAsia="Calibri"/>
          <w:spacing w:val="-4"/>
          <w:lang w:val="en-US" w:eastAsia="en-US"/>
        </w:rPr>
      </w:pPr>
      <w:bookmarkStart w:id="40" w:name="_Hlk75114446"/>
      <w:r w:rsidRPr="00E4449B">
        <w:t xml:space="preserve">supported three Aboriginal and Torres Strait Islander Councils to undertake projects aimed at reducing domestic and family violence in their communities </w:t>
      </w:r>
    </w:p>
    <w:p w14:paraId="641D4834" w14:textId="48911C82" w:rsidR="00C64D93" w:rsidRPr="00E4449B" w:rsidRDefault="00C64D93" w:rsidP="00D83B53">
      <w:pPr>
        <w:pStyle w:val="ListBullet"/>
        <w:rPr>
          <w:rFonts w:eastAsia="Calibri"/>
          <w:spacing w:val="-4"/>
          <w:lang w:val="en-US" w:eastAsia="en-US"/>
        </w:rPr>
      </w:pPr>
      <w:r w:rsidRPr="00E4449B">
        <w:rPr>
          <w:rFonts w:eastAsia="Calibri"/>
          <w:spacing w:val="-4"/>
          <w:lang w:val="en-US" w:eastAsia="en-US"/>
        </w:rPr>
        <w:t>provided small grant funding to Aboriginal and Torres Strait Islander community-controlled service providers to implement co-design, and community capacity building initiatives, across the eight high risk team locations to support victims, children and communities impacted by domestic and family violence</w:t>
      </w:r>
    </w:p>
    <w:p w14:paraId="1D860FFF" w14:textId="01FF8ACF" w:rsidR="007E08FD" w:rsidRPr="00E4449B" w:rsidRDefault="007E08FD" w:rsidP="00D83B53">
      <w:pPr>
        <w:pStyle w:val="ListBullet"/>
        <w:rPr>
          <w:rFonts w:eastAsia="Calibri"/>
          <w:spacing w:val="-4"/>
          <w:lang w:val="en-US" w:eastAsia="en-US"/>
        </w:rPr>
      </w:pPr>
      <w:r w:rsidRPr="00E4449B">
        <w:t>worked in collaboration with remote and discrete communities in seeking expressions of interest to support two domestic and family violence action plans totalling $350,000</w:t>
      </w:r>
      <w:r w:rsidR="00C64D93" w:rsidRPr="00E4449B">
        <w:t>,</w:t>
      </w:r>
      <w:r w:rsidRPr="00E4449B">
        <w:t xml:space="preserve"> as well as a social reinvestment project worth up to $150,000, to reduce domestic and family violence in their community</w:t>
      </w:r>
      <w:bookmarkEnd w:id="40"/>
    </w:p>
    <w:p w14:paraId="6127BAE1" w14:textId="692AF734" w:rsidR="005E5AD9" w:rsidRPr="00E4449B" w:rsidRDefault="007E08FD" w:rsidP="00D83B53">
      <w:pPr>
        <w:pStyle w:val="ListBullet"/>
        <w:rPr>
          <w:b/>
        </w:rPr>
      </w:pPr>
      <w:r w:rsidRPr="00E4449B">
        <w:t>recommended approval of two community-led action plans</w:t>
      </w:r>
      <w:r w:rsidR="00C64D93" w:rsidRPr="00E4449B">
        <w:t>,</w:t>
      </w:r>
      <w:r w:rsidRPr="00E4449B">
        <w:t xml:space="preserve"> as well as a social reinvestment project in another community, with projects scheduled to commence in 2021-2022</w:t>
      </w:r>
      <w:r w:rsidR="002A4A6F" w:rsidRPr="00E4449B">
        <w:rPr>
          <w:b/>
        </w:rPr>
        <w:t>.</w:t>
      </w:r>
      <w:r w:rsidRPr="00E4449B">
        <w:t xml:space="preserve"> </w:t>
      </w:r>
    </w:p>
    <w:p w14:paraId="4C3938C8" w14:textId="4F79CFFF" w:rsidR="005E5AD9" w:rsidRPr="00E4449B" w:rsidRDefault="005E5AD9" w:rsidP="007524AB">
      <w:pPr>
        <w:pStyle w:val="Heading3"/>
        <w:rPr>
          <w:rFonts w:eastAsia="Calibri"/>
          <w:spacing w:val="-1"/>
          <w:w w:val="110"/>
          <w:lang w:val="en-US"/>
        </w:rPr>
      </w:pPr>
      <w:bookmarkStart w:id="41" w:name="_Toc67046720"/>
      <w:bookmarkStart w:id="42" w:name="_Toc78287372"/>
      <w:bookmarkStart w:id="43" w:name="_Toc78355779"/>
      <w:r w:rsidRPr="00E4449B">
        <w:lastRenderedPageBreak/>
        <w:t>Enabling Aboriginal and Torres Strait Islander children and families to thrive</w:t>
      </w:r>
      <w:bookmarkEnd w:id="41"/>
      <w:bookmarkEnd w:id="42"/>
      <w:bookmarkEnd w:id="43"/>
    </w:p>
    <w:p w14:paraId="5F565AF8" w14:textId="0E406B2C" w:rsidR="007B39A1" w:rsidRPr="00E4449B" w:rsidRDefault="008E00EF" w:rsidP="00D83B53">
      <w:pPr>
        <w:rPr>
          <w:rFonts w:eastAsia="Calibri"/>
          <w:lang w:val="en-US" w:eastAsia="en-US"/>
        </w:rPr>
      </w:pPr>
      <w:r w:rsidRPr="00E4449B">
        <w:rPr>
          <w:rFonts w:eastAsia="Calibri"/>
          <w:lang w:val="en-US" w:eastAsia="en-US"/>
        </w:rPr>
        <w:t>The department jointly leads</w:t>
      </w:r>
      <w:r w:rsidR="007B39A1" w:rsidRPr="00E4449B">
        <w:rPr>
          <w:rFonts w:eastAsia="Calibri"/>
          <w:lang w:val="en-US" w:eastAsia="en-US"/>
        </w:rPr>
        <w:t xml:space="preserve">, with the Department of Children, Youth Justice and Multicultural Affairs, the implementation of the Queensland Government's </w:t>
      </w:r>
      <w:r w:rsidR="007B39A1" w:rsidRPr="00E4449B">
        <w:rPr>
          <w:rFonts w:eastAsia="Calibri"/>
          <w:i/>
          <w:lang w:val="en-US" w:eastAsia="en-US"/>
        </w:rPr>
        <w:t>Our Way</w:t>
      </w:r>
      <w:r w:rsidR="007B39A1" w:rsidRPr="00E4449B">
        <w:rPr>
          <w:rFonts w:eastAsia="Calibri"/>
          <w:lang w:val="en-US" w:eastAsia="en-US"/>
        </w:rPr>
        <w:t xml:space="preserve"> strategy and action plan to reduce Aboriginal and Torres Strait Islander overrepresentation in the child protection system and family support reforms</w:t>
      </w:r>
      <w:r w:rsidRPr="00E4449B">
        <w:rPr>
          <w:rFonts w:eastAsia="Calibri"/>
          <w:lang w:val="en-US" w:eastAsia="en-US"/>
        </w:rPr>
        <w:t>.</w:t>
      </w:r>
    </w:p>
    <w:p w14:paraId="52E33A61" w14:textId="253132A0" w:rsidR="008E00EF" w:rsidRPr="00E4449B" w:rsidRDefault="008E00EF" w:rsidP="00D83B53">
      <w:pPr>
        <w:rPr>
          <w:rFonts w:eastAsia="Calibri"/>
          <w:lang w:val="en-US" w:eastAsia="en-US"/>
        </w:rPr>
      </w:pPr>
      <w:r w:rsidRPr="00E4449B">
        <w:rPr>
          <w:rFonts w:eastAsia="Calibri"/>
          <w:lang w:val="en-US" w:eastAsia="en-US"/>
        </w:rPr>
        <w:t xml:space="preserve">Support </w:t>
      </w:r>
      <w:r w:rsidR="00C70CB2" w:rsidRPr="00E4449B">
        <w:rPr>
          <w:rFonts w:eastAsia="Calibri"/>
          <w:lang w:val="en-US" w:eastAsia="en-US"/>
        </w:rPr>
        <w:t>was</w:t>
      </w:r>
      <w:r w:rsidRPr="00E4449B">
        <w:rPr>
          <w:rFonts w:eastAsia="Calibri"/>
          <w:lang w:val="en-US" w:eastAsia="en-US"/>
        </w:rPr>
        <w:t xml:space="preserve"> provided to the relevant Ministers and the Queensland Aboriginal and Torres Strait Islander Child Protection Peak Limited to increase the number of community</w:t>
      </w:r>
      <w:r w:rsidR="005015A4">
        <w:rPr>
          <w:rFonts w:eastAsia="Calibri"/>
          <w:lang w:val="en-US" w:eastAsia="en-US"/>
        </w:rPr>
        <w:t>-</w:t>
      </w:r>
      <w:r w:rsidRPr="00E4449B">
        <w:rPr>
          <w:rFonts w:eastAsia="Calibri"/>
          <w:lang w:val="en-US" w:eastAsia="en-US"/>
        </w:rPr>
        <w:t xml:space="preserve">controlled </w:t>
      </w:r>
      <w:proofErr w:type="spellStart"/>
      <w:r w:rsidRPr="00E4449B">
        <w:rPr>
          <w:rFonts w:eastAsia="Calibri"/>
          <w:lang w:val="en-US" w:eastAsia="en-US"/>
        </w:rPr>
        <w:t>organisations</w:t>
      </w:r>
      <w:proofErr w:type="spellEnd"/>
      <w:r w:rsidRPr="00E4449B">
        <w:rPr>
          <w:rFonts w:eastAsia="Calibri"/>
          <w:lang w:val="en-US" w:eastAsia="en-US"/>
        </w:rPr>
        <w:t xml:space="preserve"> with delegated and cultural authority to make decisions.</w:t>
      </w:r>
    </w:p>
    <w:p w14:paraId="3C118B13" w14:textId="77777777" w:rsidR="00C70CB2" w:rsidRPr="00E4449B" w:rsidRDefault="008E00EF" w:rsidP="00D83B53">
      <w:pPr>
        <w:rPr>
          <w:rFonts w:eastAsia="Calibri"/>
          <w:lang w:val="en-US" w:eastAsia="en-US"/>
        </w:rPr>
      </w:pPr>
      <w:r w:rsidRPr="00E4449B">
        <w:rPr>
          <w:rFonts w:eastAsia="Calibri"/>
          <w:lang w:val="en-US" w:eastAsia="en-US"/>
        </w:rPr>
        <w:t>The department continues</w:t>
      </w:r>
      <w:r w:rsidR="007B39A1" w:rsidRPr="00E4449B">
        <w:rPr>
          <w:rFonts w:eastAsia="Calibri"/>
          <w:lang w:val="en-US" w:eastAsia="en-US"/>
        </w:rPr>
        <w:t xml:space="preserve"> to work with the Queensland Mental Health Commission and Aboriginal and Torres Strait Islander stakeholders to deliver an Aboriginal and Torres Strait Islander youth mental health and suicide prevention program, as part of the Shifting Minds suicide prevention flagship program</w:t>
      </w:r>
      <w:r w:rsidR="002A6012" w:rsidRPr="00E4449B">
        <w:rPr>
          <w:rFonts w:eastAsia="Calibri"/>
          <w:lang w:val="en-US" w:eastAsia="en-US"/>
        </w:rPr>
        <w:t>.</w:t>
      </w:r>
      <w:r w:rsidR="00C70CB2" w:rsidRPr="00E4449B">
        <w:rPr>
          <w:rFonts w:eastAsia="Calibri"/>
          <w:lang w:val="en-US" w:eastAsia="en-US"/>
        </w:rPr>
        <w:t xml:space="preserve"> </w:t>
      </w:r>
    </w:p>
    <w:p w14:paraId="35B981B9" w14:textId="08112322" w:rsidR="00974676" w:rsidRPr="00E4449B" w:rsidRDefault="00C70CB2" w:rsidP="00D83B53">
      <w:pPr>
        <w:rPr>
          <w:rFonts w:eastAsia="Calibri"/>
          <w:lang w:val="en-US" w:eastAsia="en-US"/>
        </w:rPr>
      </w:pPr>
      <w:r w:rsidRPr="00E4449B">
        <w:rPr>
          <w:rFonts w:eastAsia="Calibri"/>
          <w:lang w:val="en-US" w:eastAsia="en-US"/>
        </w:rPr>
        <w:t>Further ongoing s</w:t>
      </w:r>
      <w:r w:rsidR="00974676" w:rsidRPr="00E4449B">
        <w:rPr>
          <w:rFonts w:eastAsia="Calibri"/>
          <w:lang w:val="en-US" w:eastAsia="en-US"/>
        </w:rPr>
        <w:t xml:space="preserve">upport </w:t>
      </w:r>
      <w:r w:rsidRPr="00E4449B">
        <w:rPr>
          <w:rFonts w:eastAsia="Calibri"/>
          <w:lang w:val="en-US" w:eastAsia="en-US"/>
        </w:rPr>
        <w:t xml:space="preserve">was provided to </w:t>
      </w:r>
      <w:r w:rsidR="00974676" w:rsidRPr="00E4449B">
        <w:rPr>
          <w:rFonts w:eastAsia="Calibri"/>
          <w:lang w:val="en-US" w:eastAsia="en-US"/>
        </w:rPr>
        <w:t>key stakeholders in undertaking a culturally appropriate community conversation with Aboriginal and Torres Strait Islander children and young people about their interactions with the justice system</w:t>
      </w:r>
      <w:r w:rsidR="002A6012" w:rsidRPr="00E4449B">
        <w:rPr>
          <w:rFonts w:eastAsia="Calibri"/>
          <w:lang w:val="en-US" w:eastAsia="en-US"/>
        </w:rPr>
        <w:t>.</w:t>
      </w:r>
    </w:p>
    <w:p w14:paraId="1C15258B" w14:textId="07226139" w:rsidR="00974676" w:rsidRPr="00E4449B" w:rsidRDefault="00C70CB2" w:rsidP="00D83B53">
      <w:pPr>
        <w:rPr>
          <w:rFonts w:eastAsia="Calibri"/>
          <w:lang w:val="en-US" w:eastAsia="en-US"/>
        </w:rPr>
      </w:pPr>
      <w:r w:rsidRPr="00E4449B">
        <w:rPr>
          <w:rFonts w:eastAsia="Calibri"/>
          <w:lang w:val="en-US" w:eastAsia="en-US"/>
        </w:rPr>
        <w:t>The department continued to s</w:t>
      </w:r>
      <w:r w:rsidR="00974676" w:rsidRPr="00E4449B">
        <w:rPr>
          <w:rFonts w:eastAsia="Calibri"/>
          <w:lang w:val="en-US" w:eastAsia="en-US"/>
        </w:rPr>
        <w:t xml:space="preserve">upport the relevant Ministers in the development and </w:t>
      </w:r>
      <w:proofErr w:type="spellStart"/>
      <w:r w:rsidR="00974676" w:rsidRPr="00E4449B">
        <w:rPr>
          <w:rFonts w:eastAsia="Calibri"/>
          <w:lang w:val="en-US" w:eastAsia="en-US"/>
        </w:rPr>
        <w:t>finalisation</w:t>
      </w:r>
      <w:proofErr w:type="spellEnd"/>
      <w:r w:rsidR="00974676" w:rsidRPr="00E4449B">
        <w:rPr>
          <w:rFonts w:eastAsia="Calibri"/>
          <w:lang w:val="en-US" w:eastAsia="en-US"/>
        </w:rPr>
        <w:t xml:space="preserve"> of local health equity strategies</w:t>
      </w:r>
      <w:r w:rsidRPr="00E4449B">
        <w:rPr>
          <w:rFonts w:eastAsia="Calibri"/>
          <w:lang w:val="en-US" w:eastAsia="en-US"/>
        </w:rPr>
        <w:t>,</w:t>
      </w:r>
      <w:r w:rsidR="00974676" w:rsidRPr="00E4449B">
        <w:rPr>
          <w:rFonts w:eastAsia="Calibri"/>
          <w:lang w:val="en-US" w:eastAsia="en-US"/>
        </w:rPr>
        <w:t xml:space="preserve"> and in overseeing the pilot of On Country programs</w:t>
      </w:r>
      <w:r w:rsidR="002A6012" w:rsidRPr="00E4449B">
        <w:rPr>
          <w:rFonts w:eastAsia="Calibri"/>
          <w:lang w:val="en-US" w:eastAsia="en-US"/>
        </w:rPr>
        <w:t>.</w:t>
      </w:r>
    </w:p>
    <w:p w14:paraId="30068B8B" w14:textId="77777777" w:rsidR="005E5AD9" w:rsidRPr="00D83B53" w:rsidRDefault="005E5AD9" w:rsidP="00D21656">
      <w:pPr>
        <w:pStyle w:val="Heading4"/>
      </w:pPr>
      <w:r w:rsidRPr="00D83B53">
        <w:t xml:space="preserve">Key achievements </w:t>
      </w:r>
    </w:p>
    <w:p w14:paraId="06242D6A" w14:textId="6C8DE2AE" w:rsidR="005E5AD9" w:rsidRPr="00E4449B" w:rsidRDefault="00326C8A" w:rsidP="00D83B53">
      <w:r w:rsidRPr="00E4449B">
        <w:t>During the reporting period, t</w:t>
      </w:r>
      <w:r w:rsidR="005E5AD9" w:rsidRPr="00E4449B">
        <w:t>he</w:t>
      </w:r>
      <w:r w:rsidR="005E5AD9" w:rsidRPr="00E4449B">
        <w:rPr>
          <w:spacing w:val="-14"/>
        </w:rPr>
        <w:t xml:space="preserve"> </w:t>
      </w:r>
      <w:r w:rsidR="005E5AD9" w:rsidRPr="00E4449B">
        <w:rPr>
          <w:spacing w:val="-1"/>
        </w:rPr>
        <w:t>dep</w:t>
      </w:r>
      <w:r w:rsidR="005E5AD9" w:rsidRPr="00E4449B">
        <w:rPr>
          <w:spacing w:val="-2"/>
        </w:rPr>
        <w:t>artment:</w:t>
      </w:r>
    </w:p>
    <w:p w14:paraId="4B55774B" w14:textId="12FD6400" w:rsidR="007E08FD" w:rsidRPr="00E4449B" w:rsidRDefault="007E08FD" w:rsidP="00D83B53">
      <w:pPr>
        <w:pStyle w:val="ListBullet"/>
      </w:pPr>
      <w:r w:rsidRPr="00E4449B">
        <w:t>delivered a workshop for Aboriginal and Torres Strait Islander community members, service providers and departmental staff in emotional regulation and impulse control skills training, in the context of responding to</w:t>
      </w:r>
      <w:r w:rsidR="00A06383" w:rsidRPr="00E4449B">
        <w:t>,</w:t>
      </w:r>
      <w:r w:rsidRPr="00E4449B">
        <w:t xml:space="preserve"> and supporting</w:t>
      </w:r>
      <w:r w:rsidR="00A06383" w:rsidRPr="00E4449B">
        <w:t>,</w:t>
      </w:r>
      <w:r w:rsidRPr="00E4449B">
        <w:t xml:space="preserve"> young people </w:t>
      </w:r>
    </w:p>
    <w:p w14:paraId="28CE6186" w14:textId="477E463E" w:rsidR="007E08FD" w:rsidRPr="00E4449B" w:rsidRDefault="002C3425" w:rsidP="00D83B53">
      <w:pPr>
        <w:pStyle w:val="ListBullet"/>
      </w:pPr>
      <w:r w:rsidRPr="00E4449B">
        <w:t>c</w:t>
      </w:r>
      <w:r w:rsidR="007E08FD" w:rsidRPr="00E4449B">
        <w:t xml:space="preserve">ontinued to support the delivery of an initiative to support Aboriginal and Torres Strait Islander children to thrive in their early years through culturally safe and tailored supports for children and their families in the Moreton Bay catchment region </w:t>
      </w:r>
    </w:p>
    <w:p w14:paraId="015C8DE9" w14:textId="77777777" w:rsidR="002C3425" w:rsidRPr="00E4449B" w:rsidRDefault="002C3425" w:rsidP="00D83B53">
      <w:pPr>
        <w:pStyle w:val="ListBullet"/>
        <w:rPr>
          <w:rFonts w:eastAsia="Calibri"/>
          <w:w w:val="95"/>
          <w:lang w:val="en-US" w:eastAsia="en-US"/>
        </w:rPr>
      </w:pPr>
      <w:r w:rsidRPr="00E4449B">
        <w:t>c</w:t>
      </w:r>
      <w:r w:rsidR="007E08FD" w:rsidRPr="00E4449B">
        <w:t>ontinued to support the co-</w:t>
      </w:r>
      <w:r w:rsidR="007E08FD" w:rsidRPr="00E4449B">
        <w:rPr>
          <w:lang w:val="en-US"/>
        </w:rPr>
        <w:t>design of a community health plan and governance structure for health in Cherbourg</w:t>
      </w:r>
    </w:p>
    <w:p w14:paraId="0E4E3CA4" w14:textId="77777777" w:rsidR="002A4A6F" w:rsidRPr="00E4449B" w:rsidRDefault="002C3425" w:rsidP="00D83B53">
      <w:pPr>
        <w:pStyle w:val="ListBullet"/>
        <w:rPr>
          <w:rFonts w:eastAsia="Calibri"/>
          <w:w w:val="95"/>
          <w:lang w:val="en-US" w:eastAsia="en-US"/>
        </w:rPr>
      </w:pPr>
      <w:r w:rsidRPr="00E4449B">
        <w:t>c</w:t>
      </w:r>
      <w:r w:rsidR="007E08FD" w:rsidRPr="00E4449B">
        <w:t>ontinued to support Cherbourg community members to deliver out-of-hours mental health support to their community when other suicide prevention services are not available</w:t>
      </w:r>
    </w:p>
    <w:p w14:paraId="217B9E7C" w14:textId="34BF69D4" w:rsidR="005E5AD9" w:rsidRPr="00E4449B" w:rsidRDefault="002A4A6F" w:rsidP="00D83B53">
      <w:pPr>
        <w:pStyle w:val="ListBullet"/>
        <w:rPr>
          <w:rFonts w:eastAsia="Calibri"/>
          <w:w w:val="95"/>
          <w:lang w:val="en-US" w:eastAsia="en-US"/>
        </w:rPr>
      </w:pPr>
      <w:r w:rsidRPr="00E4449B">
        <w:t>continued the Social Reinvestment program, a key incentive funding model that offers a flexible and place-based approach to secure positive outcomes, including the Doomadgee school pool vacation program aimed at reducing youth related crime and improving school attendance</w:t>
      </w:r>
      <w:r w:rsidR="00E74CA6" w:rsidRPr="00E4449B">
        <w:t>.</w:t>
      </w:r>
    </w:p>
    <w:p w14:paraId="38486AFB" w14:textId="5A27B7FA" w:rsidR="002A6012" w:rsidRPr="00E4449B" w:rsidRDefault="00E86FF9" w:rsidP="007524AB">
      <w:pPr>
        <w:pStyle w:val="Heading3"/>
      </w:pPr>
      <w:bookmarkStart w:id="44" w:name="_Toc67046708"/>
      <w:bookmarkStart w:id="45" w:name="_Toc78287373"/>
      <w:bookmarkStart w:id="46" w:name="_Toc78355780"/>
      <w:bookmarkEnd w:id="39"/>
      <w:r w:rsidRPr="00E4449B">
        <w:t>Aboriginal and Torres Strait Islander languages</w:t>
      </w:r>
      <w:bookmarkEnd w:id="44"/>
      <w:bookmarkEnd w:id="45"/>
      <w:bookmarkEnd w:id="46"/>
    </w:p>
    <w:p w14:paraId="70DAB88B" w14:textId="40B9D20F" w:rsidR="00E86FF9" w:rsidRPr="00E4449B" w:rsidRDefault="00E86FF9" w:rsidP="00D83B53">
      <w:pPr>
        <w:rPr>
          <w:rFonts w:eastAsia="Calibri"/>
          <w:i/>
          <w:lang w:val="en-US" w:eastAsia="en-US"/>
        </w:rPr>
      </w:pPr>
      <w:bookmarkStart w:id="47" w:name="_Hlk77685591"/>
      <w:r w:rsidRPr="00E4449B">
        <w:rPr>
          <w:rFonts w:eastAsia="Calibri"/>
          <w:spacing w:val="-2"/>
          <w:lang w:val="en-US" w:eastAsia="en-US"/>
        </w:rPr>
        <w:t>A</w:t>
      </w:r>
      <w:r w:rsidRPr="00E4449B">
        <w:rPr>
          <w:rFonts w:eastAsia="Calibri"/>
          <w:lang w:val="en-US" w:eastAsia="en-US"/>
        </w:rPr>
        <w:t>boriginal</w:t>
      </w:r>
      <w:r w:rsidRPr="00E4449B">
        <w:rPr>
          <w:rFonts w:eastAsia="Calibri"/>
          <w:spacing w:val="-10"/>
          <w:lang w:val="en-US" w:eastAsia="en-US"/>
        </w:rPr>
        <w:t xml:space="preserve"> </w:t>
      </w:r>
      <w:r w:rsidRPr="00E4449B">
        <w:rPr>
          <w:rFonts w:eastAsia="Calibri"/>
          <w:lang w:val="en-US" w:eastAsia="en-US"/>
        </w:rPr>
        <w:t>and</w:t>
      </w:r>
      <w:r w:rsidRPr="00E4449B">
        <w:rPr>
          <w:rFonts w:eastAsia="Calibri"/>
          <w:spacing w:val="-13"/>
          <w:lang w:val="en-US" w:eastAsia="en-US"/>
        </w:rPr>
        <w:t xml:space="preserve"> </w:t>
      </w:r>
      <w:r w:rsidRPr="00E4449B">
        <w:rPr>
          <w:rFonts w:eastAsia="Calibri"/>
          <w:spacing w:val="-3"/>
          <w:lang w:val="en-US" w:eastAsia="en-US"/>
        </w:rPr>
        <w:t>Torre</w:t>
      </w:r>
      <w:r w:rsidRPr="00E4449B">
        <w:rPr>
          <w:rFonts w:eastAsia="Calibri"/>
          <w:spacing w:val="-2"/>
          <w:lang w:val="en-US" w:eastAsia="en-US"/>
        </w:rPr>
        <w:t>s</w:t>
      </w:r>
      <w:r w:rsidRPr="00E4449B">
        <w:rPr>
          <w:rFonts w:eastAsia="Calibri"/>
          <w:spacing w:val="-12"/>
          <w:lang w:val="en-US" w:eastAsia="en-US"/>
        </w:rPr>
        <w:t xml:space="preserve"> </w:t>
      </w:r>
      <w:r w:rsidRPr="00E4449B">
        <w:rPr>
          <w:rFonts w:eastAsia="Calibri"/>
          <w:lang w:val="en-US" w:eastAsia="en-US"/>
        </w:rPr>
        <w:t>St</w:t>
      </w:r>
      <w:r w:rsidRPr="00E4449B">
        <w:rPr>
          <w:rFonts w:eastAsia="Calibri"/>
          <w:spacing w:val="-2"/>
          <w:lang w:val="en-US" w:eastAsia="en-US"/>
        </w:rPr>
        <w:t>rait</w:t>
      </w:r>
      <w:r w:rsidRPr="00E4449B">
        <w:rPr>
          <w:rFonts w:eastAsia="Calibri"/>
          <w:spacing w:val="-10"/>
          <w:lang w:val="en-US" w:eastAsia="en-US"/>
        </w:rPr>
        <w:t xml:space="preserve"> </w:t>
      </w:r>
      <w:r w:rsidRPr="00E4449B">
        <w:rPr>
          <w:rFonts w:eastAsia="Calibri"/>
          <w:lang w:val="en-US" w:eastAsia="en-US"/>
        </w:rPr>
        <w:t>Island</w:t>
      </w:r>
      <w:r w:rsidRPr="00E4449B">
        <w:rPr>
          <w:rFonts w:eastAsia="Calibri"/>
          <w:spacing w:val="-2"/>
          <w:lang w:val="en-US" w:eastAsia="en-US"/>
        </w:rPr>
        <w:t>er</w:t>
      </w:r>
      <w:r w:rsidRPr="00E4449B">
        <w:rPr>
          <w:rFonts w:eastAsia="Calibri"/>
          <w:spacing w:val="-8"/>
          <w:lang w:val="en-US" w:eastAsia="en-US"/>
        </w:rPr>
        <w:t xml:space="preserve"> </w:t>
      </w:r>
      <w:r w:rsidRPr="00E4449B">
        <w:rPr>
          <w:rFonts w:eastAsia="Calibri"/>
          <w:lang w:val="en-US" w:eastAsia="en-US"/>
        </w:rPr>
        <w:t>languages</w:t>
      </w:r>
      <w:r w:rsidRPr="00E4449B">
        <w:rPr>
          <w:rFonts w:eastAsia="Calibri"/>
          <w:spacing w:val="-9"/>
          <w:lang w:val="en-US" w:eastAsia="en-US"/>
        </w:rPr>
        <w:t xml:space="preserve"> </w:t>
      </w:r>
      <w:r w:rsidRPr="00E4449B">
        <w:rPr>
          <w:rFonts w:eastAsia="Calibri"/>
          <w:lang w:val="en-US" w:eastAsia="en-US"/>
        </w:rPr>
        <w:t>are</w:t>
      </w:r>
      <w:r w:rsidRPr="00E4449B">
        <w:rPr>
          <w:rFonts w:eastAsia="Calibri"/>
          <w:spacing w:val="-8"/>
          <w:lang w:val="en-US" w:eastAsia="en-US"/>
        </w:rPr>
        <w:t xml:space="preserve"> </w:t>
      </w:r>
      <w:r w:rsidRPr="00E4449B">
        <w:rPr>
          <w:rFonts w:eastAsia="Calibri"/>
          <w:spacing w:val="-2"/>
          <w:lang w:val="en-US" w:eastAsia="en-US"/>
        </w:rPr>
        <w:t>intrin</w:t>
      </w:r>
      <w:r w:rsidRPr="00E4449B">
        <w:rPr>
          <w:rFonts w:eastAsia="Calibri"/>
          <w:lang w:val="en-US" w:eastAsia="en-US"/>
        </w:rPr>
        <w:t>sic</w:t>
      </w:r>
      <w:r w:rsidRPr="00E4449B">
        <w:rPr>
          <w:rFonts w:eastAsia="Calibri"/>
          <w:spacing w:val="-9"/>
          <w:lang w:val="en-US" w:eastAsia="en-US"/>
        </w:rPr>
        <w:t xml:space="preserve"> </w:t>
      </w:r>
      <w:r w:rsidRPr="00E4449B">
        <w:rPr>
          <w:rFonts w:eastAsia="Calibri"/>
          <w:spacing w:val="-2"/>
          <w:lang w:val="en-US" w:eastAsia="en-US"/>
        </w:rPr>
        <w:t>t</w:t>
      </w:r>
      <w:r w:rsidRPr="00E4449B">
        <w:rPr>
          <w:rFonts w:eastAsia="Calibri"/>
          <w:lang w:val="en-US" w:eastAsia="en-US"/>
        </w:rPr>
        <w:t>o</w:t>
      </w:r>
      <w:r w:rsidRPr="00E4449B">
        <w:rPr>
          <w:rFonts w:eastAsia="Calibri"/>
          <w:spacing w:val="57"/>
          <w:w w:val="98"/>
          <w:lang w:val="en-US" w:eastAsia="en-US"/>
        </w:rPr>
        <w:t xml:space="preserve"> </w:t>
      </w:r>
      <w:r w:rsidRPr="00E4449B">
        <w:rPr>
          <w:rFonts w:eastAsia="Calibri"/>
          <w:lang w:val="en-US" w:eastAsia="en-US"/>
        </w:rPr>
        <w:t>the</w:t>
      </w:r>
      <w:r w:rsidRPr="00E4449B">
        <w:rPr>
          <w:rFonts w:eastAsia="Calibri"/>
          <w:spacing w:val="-16"/>
          <w:lang w:val="en-US" w:eastAsia="en-US"/>
        </w:rPr>
        <w:t xml:space="preserve"> </w:t>
      </w:r>
      <w:r w:rsidRPr="00E4449B">
        <w:rPr>
          <w:rFonts w:eastAsia="Calibri"/>
          <w:lang w:val="en-US" w:eastAsia="en-US"/>
        </w:rPr>
        <w:t>unique</w:t>
      </w:r>
      <w:r w:rsidRPr="00E4449B">
        <w:rPr>
          <w:rFonts w:eastAsia="Calibri"/>
          <w:spacing w:val="-15"/>
          <w:lang w:val="en-US" w:eastAsia="en-US"/>
        </w:rPr>
        <w:t xml:space="preserve"> </w:t>
      </w:r>
      <w:r w:rsidRPr="00E4449B">
        <w:rPr>
          <w:rFonts w:eastAsia="Calibri"/>
          <w:lang w:val="en-US" w:eastAsia="en-US"/>
        </w:rPr>
        <w:t>cu</w:t>
      </w:r>
      <w:r w:rsidRPr="00E4449B">
        <w:rPr>
          <w:rFonts w:eastAsia="Calibri"/>
          <w:spacing w:val="-2"/>
          <w:lang w:val="en-US" w:eastAsia="en-US"/>
        </w:rPr>
        <w:t>lt</w:t>
      </w:r>
      <w:r w:rsidRPr="00E4449B">
        <w:rPr>
          <w:rFonts w:eastAsia="Calibri"/>
          <w:lang w:val="en-US" w:eastAsia="en-US"/>
        </w:rPr>
        <w:t>u</w:t>
      </w:r>
      <w:r w:rsidRPr="00E4449B">
        <w:rPr>
          <w:rFonts w:eastAsia="Calibri"/>
          <w:spacing w:val="-2"/>
          <w:lang w:val="en-US" w:eastAsia="en-US"/>
        </w:rPr>
        <w:t>r</w:t>
      </w:r>
      <w:r w:rsidRPr="00E4449B">
        <w:rPr>
          <w:rFonts w:eastAsia="Calibri"/>
          <w:lang w:val="en-US" w:eastAsia="en-US"/>
        </w:rPr>
        <w:t>al</w:t>
      </w:r>
      <w:r w:rsidRPr="00E4449B">
        <w:rPr>
          <w:rFonts w:eastAsia="Calibri"/>
          <w:spacing w:val="-16"/>
          <w:lang w:val="en-US" w:eastAsia="en-US"/>
        </w:rPr>
        <w:t xml:space="preserve"> </w:t>
      </w:r>
      <w:r w:rsidRPr="00E4449B">
        <w:rPr>
          <w:rFonts w:eastAsia="Calibri"/>
          <w:spacing w:val="-2"/>
          <w:lang w:val="en-US" w:eastAsia="en-US"/>
        </w:rPr>
        <w:t>herit</w:t>
      </w:r>
      <w:r w:rsidRPr="00E4449B">
        <w:rPr>
          <w:rFonts w:eastAsia="Calibri"/>
          <w:lang w:val="en-US" w:eastAsia="en-US"/>
        </w:rPr>
        <w:t>age</w:t>
      </w:r>
      <w:r w:rsidRPr="00E4449B">
        <w:rPr>
          <w:rFonts w:eastAsia="Calibri"/>
          <w:spacing w:val="-15"/>
          <w:lang w:val="en-US" w:eastAsia="en-US"/>
        </w:rPr>
        <w:t xml:space="preserve"> </w:t>
      </w:r>
      <w:r w:rsidRPr="00E4449B">
        <w:rPr>
          <w:rFonts w:eastAsia="Calibri"/>
          <w:lang w:val="en-US" w:eastAsia="en-US"/>
        </w:rPr>
        <w:t>of</w:t>
      </w:r>
      <w:r w:rsidRPr="00E4449B">
        <w:rPr>
          <w:rFonts w:eastAsia="Calibri"/>
          <w:spacing w:val="-16"/>
          <w:lang w:val="en-US" w:eastAsia="en-US"/>
        </w:rPr>
        <w:t xml:space="preserve"> </w:t>
      </w:r>
      <w:r w:rsidRPr="00E4449B">
        <w:rPr>
          <w:rFonts w:eastAsia="Calibri"/>
          <w:spacing w:val="-2"/>
          <w:lang w:val="en-US" w:eastAsia="en-US"/>
        </w:rPr>
        <w:t>Queen</w:t>
      </w:r>
      <w:r w:rsidRPr="00E4449B">
        <w:rPr>
          <w:rFonts w:eastAsia="Calibri"/>
          <w:lang w:val="en-US" w:eastAsia="en-US"/>
        </w:rPr>
        <w:t>sland</w:t>
      </w:r>
      <w:r w:rsidRPr="00E4449B">
        <w:rPr>
          <w:rFonts w:eastAsia="Calibri"/>
          <w:spacing w:val="-15"/>
          <w:lang w:val="en-US" w:eastAsia="en-US"/>
        </w:rPr>
        <w:t xml:space="preserve"> </w:t>
      </w:r>
      <w:r w:rsidRPr="00E4449B">
        <w:rPr>
          <w:rFonts w:eastAsia="Calibri"/>
          <w:lang w:val="en-US" w:eastAsia="en-US"/>
        </w:rPr>
        <w:t>and</w:t>
      </w:r>
      <w:r w:rsidRPr="00E4449B">
        <w:rPr>
          <w:rFonts w:eastAsia="Calibri"/>
          <w:spacing w:val="-17"/>
          <w:lang w:val="en-US" w:eastAsia="en-US"/>
        </w:rPr>
        <w:t xml:space="preserve"> </w:t>
      </w:r>
      <w:r w:rsidRPr="00E4449B">
        <w:rPr>
          <w:rFonts w:eastAsia="Calibri"/>
          <w:lang w:val="en-US" w:eastAsia="en-US"/>
        </w:rPr>
        <w:t>important</w:t>
      </w:r>
      <w:r w:rsidRPr="00E4449B">
        <w:rPr>
          <w:rFonts w:eastAsia="Calibri"/>
          <w:spacing w:val="35"/>
          <w:w w:val="97"/>
          <w:lang w:val="en-US" w:eastAsia="en-US"/>
        </w:rPr>
        <w:t xml:space="preserve"> </w:t>
      </w:r>
      <w:bookmarkEnd w:id="47"/>
      <w:r w:rsidRPr="00E4449B">
        <w:rPr>
          <w:rFonts w:eastAsia="Calibri"/>
          <w:lang w:val="en-US" w:eastAsia="en-US"/>
        </w:rPr>
        <w:t>in</w:t>
      </w:r>
      <w:r w:rsidRPr="00E4449B">
        <w:rPr>
          <w:rFonts w:eastAsia="Calibri"/>
          <w:spacing w:val="-8"/>
          <w:lang w:val="en-US" w:eastAsia="en-US"/>
        </w:rPr>
        <w:t xml:space="preserve"> </w:t>
      </w:r>
      <w:r w:rsidRPr="00E4449B">
        <w:rPr>
          <w:rFonts w:eastAsia="Calibri"/>
          <w:spacing w:val="-2"/>
          <w:lang w:val="en-US" w:eastAsia="en-US"/>
        </w:rPr>
        <w:t>maint</w:t>
      </w:r>
      <w:r w:rsidRPr="00E4449B">
        <w:rPr>
          <w:rFonts w:eastAsia="Calibri"/>
          <w:lang w:val="en-US" w:eastAsia="en-US"/>
        </w:rPr>
        <w:t>aining</w:t>
      </w:r>
      <w:r w:rsidRPr="00E4449B">
        <w:rPr>
          <w:rFonts w:eastAsia="Calibri"/>
          <w:spacing w:val="-8"/>
          <w:lang w:val="en-US" w:eastAsia="en-US"/>
        </w:rPr>
        <w:t xml:space="preserve"> </w:t>
      </w:r>
      <w:r w:rsidRPr="00E4449B">
        <w:rPr>
          <w:rFonts w:eastAsia="Calibri"/>
          <w:spacing w:val="-2"/>
          <w:lang w:val="en-US" w:eastAsia="en-US"/>
        </w:rPr>
        <w:t>A</w:t>
      </w:r>
      <w:r w:rsidRPr="00E4449B">
        <w:rPr>
          <w:rFonts w:eastAsia="Calibri"/>
          <w:lang w:val="en-US" w:eastAsia="en-US"/>
        </w:rPr>
        <w:t>boriginal</w:t>
      </w:r>
      <w:r w:rsidRPr="00E4449B">
        <w:rPr>
          <w:rFonts w:eastAsia="Calibri"/>
          <w:spacing w:val="-9"/>
          <w:lang w:val="en-US" w:eastAsia="en-US"/>
        </w:rPr>
        <w:t xml:space="preserve"> </w:t>
      </w:r>
      <w:r w:rsidRPr="00E4449B">
        <w:rPr>
          <w:rFonts w:eastAsia="Calibri"/>
          <w:lang w:val="en-US" w:eastAsia="en-US"/>
        </w:rPr>
        <w:t>peopl</w:t>
      </w:r>
      <w:r w:rsidRPr="00E4449B">
        <w:rPr>
          <w:rFonts w:eastAsia="Calibri"/>
          <w:spacing w:val="-2"/>
          <w:lang w:val="en-US" w:eastAsia="en-US"/>
        </w:rPr>
        <w:t>e</w:t>
      </w:r>
      <w:r w:rsidRPr="00E4449B">
        <w:rPr>
          <w:rFonts w:eastAsia="Calibri"/>
          <w:lang w:val="en-US" w:eastAsia="en-US"/>
        </w:rPr>
        <w:t>s</w:t>
      </w:r>
      <w:r w:rsidRPr="00E4449B">
        <w:rPr>
          <w:rFonts w:eastAsia="Calibri"/>
          <w:spacing w:val="-10"/>
          <w:lang w:val="en-US" w:eastAsia="en-US"/>
        </w:rPr>
        <w:t xml:space="preserve"> </w:t>
      </w:r>
      <w:r w:rsidRPr="00E4449B">
        <w:rPr>
          <w:rFonts w:eastAsia="Calibri"/>
          <w:lang w:val="en-US" w:eastAsia="en-US"/>
        </w:rPr>
        <w:t>and</w:t>
      </w:r>
      <w:r w:rsidRPr="00E4449B">
        <w:rPr>
          <w:rFonts w:eastAsia="Calibri"/>
          <w:spacing w:val="-12"/>
          <w:lang w:val="en-US" w:eastAsia="en-US"/>
        </w:rPr>
        <w:t xml:space="preserve"> </w:t>
      </w:r>
      <w:r w:rsidRPr="00E4449B">
        <w:rPr>
          <w:rFonts w:eastAsia="Calibri"/>
          <w:spacing w:val="-3"/>
          <w:lang w:val="en-US" w:eastAsia="en-US"/>
        </w:rPr>
        <w:t>Torre</w:t>
      </w:r>
      <w:r w:rsidRPr="00E4449B">
        <w:rPr>
          <w:rFonts w:eastAsia="Calibri"/>
          <w:spacing w:val="-2"/>
          <w:lang w:val="en-US" w:eastAsia="en-US"/>
        </w:rPr>
        <w:t>s</w:t>
      </w:r>
      <w:r w:rsidRPr="00E4449B">
        <w:rPr>
          <w:rFonts w:eastAsia="Calibri"/>
          <w:spacing w:val="-13"/>
          <w:lang w:val="en-US" w:eastAsia="en-US"/>
        </w:rPr>
        <w:t xml:space="preserve"> </w:t>
      </w:r>
      <w:r w:rsidRPr="00E4449B">
        <w:rPr>
          <w:rFonts w:eastAsia="Calibri"/>
          <w:lang w:val="en-US" w:eastAsia="en-US"/>
        </w:rPr>
        <w:t>St</w:t>
      </w:r>
      <w:r w:rsidRPr="00E4449B">
        <w:rPr>
          <w:rFonts w:eastAsia="Calibri"/>
          <w:spacing w:val="-2"/>
          <w:lang w:val="en-US" w:eastAsia="en-US"/>
        </w:rPr>
        <w:t>rait</w:t>
      </w:r>
      <w:r w:rsidRPr="00E4449B">
        <w:rPr>
          <w:rFonts w:eastAsia="Calibri"/>
          <w:spacing w:val="-9"/>
          <w:lang w:val="en-US" w:eastAsia="en-US"/>
        </w:rPr>
        <w:t xml:space="preserve"> </w:t>
      </w:r>
      <w:r w:rsidRPr="00E4449B">
        <w:rPr>
          <w:rFonts w:eastAsia="Calibri"/>
          <w:lang w:val="en-US" w:eastAsia="en-US"/>
        </w:rPr>
        <w:t>Island</w:t>
      </w:r>
      <w:r w:rsidRPr="00E4449B">
        <w:rPr>
          <w:rFonts w:eastAsia="Calibri"/>
          <w:spacing w:val="-2"/>
          <w:lang w:val="en-US" w:eastAsia="en-US"/>
        </w:rPr>
        <w:t>er</w:t>
      </w:r>
      <w:r w:rsidR="005015A4">
        <w:rPr>
          <w:rFonts w:eastAsia="Calibri"/>
          <w:spacing w:val="57"/>
          <w:w w:val="92"/>
          <w:lang w:val="en-US" w:eastAsia="en-US"/>
        </w:rPr>
        <w:t xml:space="preserve"> </w:t>
      </w:r>
      <w:r w:rsidRPr="00E4449B">
        <w:rPr>
          <w:rFonts w:eastAsia="Calibri"/>
          <w:lang w:val="en-US" w:eastAsia="en-US"/>
        </w:rPr>
        <w:t>peopl</w:t>
      </w:r>
      <w:r w:rsidRPr="00E4449B">
        <w:rPr>
          <w:rFonts w:eastAsia="Calibri"/>
          <w:spacing w:val="-2"/>
          <w:lang w:val="en-US" w:eastAsia="en-US"/>
        </w:rPr>
        <w:t>e</w:t>
      </w:r>
      <w:r w:rsidRPr="00E4449B">
        <w:rPr>
          <w:rFonts w:eastAsia="Calibri"/>
          <w:lang w:val="en-US" w:eastAsia="en-US"/>
        </w:rPr>
        <w:t>s’</w:t>
      </w:r>
      <w:r w:rsidRPr="00E4449B">
        <w:rPr>
          <w:rFonts w:eastAsia="Calibri"/>
          <w:spacing w:val="-13"/>
          <w:lang w:val="en-US" w:eastAsia="en-US"/>
        </w:rPr>
        <w:t xml:space="preserve"> </w:t>
      </w:r>
      <w:r w:rsidRPr="00E4449B">
        <w:rPr>
          <w:rFonts w:eastAsia="Calibri"/>
          <w:lang w:val="en-US" w:eastAsia="en-US"/>
        </w:rPr>
        <w:t>connection</w:t>
      </w:r>
      <w:r w:rsidRPr="00E4449B">
        <w:rPr>
          <w:rFonts w:eastAsia="Calibri"/>
          <w:spacing w:val="-13"/>
          <w:lang w:val="en-US" w:eastAsia="en-US"/>
        </w:rPr>
        <w:t xml:space="preserve"> </w:t>
      </w:r>
      <w:r w:rsidRPr="00E4449B">
        <w:rPr>
          <w:rFonts w:eastAsia="Calibri"/>
          <w:spacing w:val="-2"/>
          <w:lang w:val="en-US" w:eastAsia="en-US"/>
        </w:rPr>
        <w:t>t</w:t>
      </w:r>
      <w:r w:rsidRPr="00E4449B">
        <w:rPr>
          <w:rFonts w:eastAsia="Calibri"/>
          <w:lang w:val="en-US" w:eastAsia="en-US"/>
        </w:rPr>
        <w:t>o</w:t>
      </w:r>
      <w:r w:rsidRPr="00E4449B">
        <w:rPr>
          <w:rFonts w:eastAsia="Calibri"/>
          <w:spacing w:val="-13"/>
          <w:lang w:val="en-US" w:eastAsia="en-US"/>
        </w:rPr>
        <w:t xml:space="preserve"> </w:t>
      </w:r>
      <w:r w:rsidRPr="00E4449B">
        <w:rPr>
          <w:rFonts w:eastAsia="Calibri"/>
          <w:lang w:val="en-US" w:eastAsia="en-US"/>
        </w:rPr>
        <w:t>cu</w:t>
      </w:r>
      <w:r w:rsidRPr="00E4449B">
        <w:rPr>
          <w:rFonts w:eastAsia="Calibri"/>
          <w:spacing w:val="-2"/>
          <w:lang w:val="en-US" w:eastAsia="en-US"/>
        </w:rPr>
        <w:t>lt</w:t>
      </w:r>
      <w:r w:rsidRPr="00E4449B">
        <w:rPr>
          <w:rFonts w:eastAsia="Calibri"/>
          <w:lang w:val="en-US" w:eastAsia="en-US"/>
        </w:rPr>
        <w:t>u</w:t>
      </w:r>
      <w:r w:rsidRPr="00E4449B">
        <w:rPr>
          <w:rFonts w:eastAsia="Calibri"/>
          <w:spacing w:val="-2"/>
          <w:lang w:val="en-US" w:eastAsia="en-US"/>
        </w:rPr>
        <w:t>re,</w:t>
      </w:r>
      <w:r w:rsidRPr="00E4449B">
        <w:rPr>
          <w:rFonts w:eastAsia="Calibri"/>
          <w:spacing w:val="-13"/>
          <w:lang w:val="en-US" w:eastAsia="en-US"/>
        </w:rPr>
        <w:t xml:space="preserve"> </w:t>
      </w:r>
      <w:r w:rsidRPr="00E4449B">
        <w:rPr>
          <w:rFonts w:eastAsia="Calibri"/>
          <w:lang w:val="en-US" w:eastAsia="en-US"/>
        </w:rPr>
        <w:t>c</w:t>
      </w:r>
      <w:r w:rsidRPr="00E4449B">
        <w:rPr>
          <w:rFonts w:eastAsia="Calibri"/>
          <w:spacing w:val="-2"/>
          <w:lang w:val="en-US" w:eastAsia="en-US"/>
        </w:rPr>
        <w:t>ommunity</w:t>
      </w:r>
      <w:r w:rsidRPr="00E4449B">
        <w:rPr>
          <w:rFonts w:eastAsia="Calibri"/>
          <w:spacing w:val="-15"/>
          <w:lang w:val="en-US" w:eastAsia="en-US"/>
        </w:rPr>
        <w:t xml:space="preserve"> </w:t>
      </w:r>
      <w:r w:rsidRPr="00E4449B">
        <w:rPr>
          <w:rFonts w:eastAsia="Calibri"/>
          <w:lang w:val="en-US" w:eastAsia="en-US"/>
        </w:rPr>
        <w:t>and</w:t>
      </w:r>
      <w:r w:rsidRPr="00E4449B">
        <w:rPr>
          <w:rFonts w:eastAsia="Calibri"/>
          <w:spacing w:val="-14"/>
          <w:lang w:val="en-US" w:eastAsia="en-US"/>
        </w:rPr>
        <w:t xml:space="preserve"> </w:t>
      </w:r>
      <w:r w:rsidRPr="00E4449B">
        <w:rPr>
          <w:rFonts w:eastAsia="Calibri"/>
          <w:lang w:val="en-US" w:eastAsia="en-US"/>
        </w:rPr>
        <w:t>id</w:t>
      </w:r>
      <w:r w:rsidRPr="00E4449B">
        <w:rPr>
          <w:rFonts w:eastAsia="Calibri"/>
          <w:spacing w:val="-2"/>
          <w:lang w:val="en-US" w:eastAsia="en-US"/>
        </w:rPr>
        <w:t>entity,</w:t>
      </w:r>
      <w:r w:rsidRPr="00E4449B">
        <w:rPr>
          <w:rFonts w:eastAsia="Calibri"/>
          <w:spacing w:val="-13"/>
          <w:lang w:val="en-US" w:eastAsia="en-US"/>
        </w:rPr>
        <w:t xml:space="preserve"> </w:t>
      </w:r>
      <w:r w:rsidRPr="00E4449B">
        <w:rPr>
          <w:rFonts w:eastAsia="Calibri"/>
          <w:lang w:val="en-US" w:eastAsia="en-US"/>
        </w:rPr>
        <w:t>and</w:t>
      </w:r>
      <w:r w:rsidRPr="00E4449B">
        <w:rPr>
          <w:rFonts w:eastAsia="Calibri"/>
          <w:spacing w:val="-14"/>
          <w:lang w:val="en-US" w:eastAsia="en-US"/>
        </w:rPr>
        <w:t xml:space="preserve"> </w:t>
      </w:r>
      <w:r w:rsidRPr="00E4449B">
        <w:rPr>
          <w:rFonts w:eastAsia="Calibri"/>
          <w:lang w:val="en-US" w:eastAsia="en-US"/>
        </w:rPr>
        <w:t>in building</w:t>
      </w:r>
      <w:r w:rsidRPr="00E4449B">
        <w:rPr>
          <w:rFonts w:eastAsia="Calibri"/>
          <w:spacing w:val="-6"/>
          <w:lang w:val="en-US" w:eastAsia="en-US"/>
        </w:rPr>
        <w:t xml:space="preserve"> </w:t>
      </w:r>
      <w:r w:rsidRPr="00E4449B">
        <w:rPr>
          <w:rFonts w:eastAsia="Calibri"/>
          <w:spacing w:val="-2"/>
          <w:lang w:val="en-US" w:eastAsia="en-US"/>
        </w:rPr>
        <w:t>re</w:t>
      </w:r>
      <w:r w:rsidRPr="00E4449B">
        <w:rPr>
          <w:rFonts w:eastAsia="Calibri"/>
          <w:lang w:val="en-US" w:eastAsia="en-US"/>
        </w:rPr>
        <w:t>silienc</w:t>
      </w:r>
      <w:r w:rsidRPr="00E4449B">
        <w:rPr>
          <w:rFonts w:eastAsia="Calibri"/>
          <w:spacing w:val="-2"/>
          <w:lang w:val="en-US" w:eastAsia="en-US"/>
        </w:rPr>
        <w:t>e.</w:t>
      </w:r>
      <w:r w:rsidR="002A6012" w:rsidRPr="00E4449B">
        <w:rPr>
          <w:rFonts w:eastAsia="Calibri"/>
          <w:spacing w:val="-2"/>
          <w:lang w:val="en-US" w:eastAsia="en-US"/>
        </w:rPr>
        <w:t xml:space="preserve"> The department is committed to leading the </w:t>
      </w:r>
      <w:r w:rsidR="00AD1719" w:rsidRPr="00E4449B">
        <w:rPr>
          <w:rFonts w:eastAsia="Calibri"/>
          <w:spacing w:val="-2"/>
          <w:lang w:val="en-US" w:eastAsia="en-US"/>
        </w:rPr>
        <w:t xml:space="preserve">implementation </w:t>
      </w:r>
      <w:r w:rsidR="002A6012" w:rsidRPr="00E4449B">
        <w:rPr>
          <w:rFonts w:eastAsia="Calibri"/>
          <w:spacing w:val="-2"/>
          <w:lang w:val="en-US" w:eastAsia="en-US"/>
        </w:rPr>
        <w:t>of the whole-of-</w:t>
      </w:r>
      <w:r w:rsidR="00436841" w:rsidRPr="00E4449B">
        <w:rPr>
          <w:rFonts w:eastAsia="Calibri"/>
          <w:spacing w:val="-2"/>
          <w:lang w:val="en-US" w:eastAsia="en-US"/>
        </w:rPr>
        <w:t>government</w:t>
      </w:r>
      <w:r w:rsidR="00AD1719" w:rsidRPr="00E4449B">
        <w:t xml:space="preserve"> </w:t>
      </w:r>
      <w:r w:rsidR="00AD1719" w:rsidRPr="00E4449B">
        <w:rPr>
          <w:rFonts w:eastAsia="Calibri"/>
          <w:i/>
          <w:iCs/>
          <w:spacing w:val="-2"/>
          <w:lang w:val="en-US" w:eastAsia="en-US"/>
        </w:rPr>
        <w:t>Many Voices Queensland Aboriginal and Torres Strait Islander Language Policy Action Plan 2020-22</w:t>
      </w:r>
      <w:r w:rsidR="00AD1719" w:rsidRPr="00E4449B">
        <w:rPr>
          <w:rFonts w:eastAsia="Calibri"/>
          <w:spacing w:val="-2"/>
          <w:lang w:val="en-US" w:eastAsia="en-US"/>
        </w:rPr>
        <w:t xml:space="preserve"> to </w:t>
      </w:r>
      <w:proofErr w:type="spellStart"/>
      <w:r w:rsidR="00AD1719" w:rsidRPr="00E4449B">
        <w:rPr>
          <w:rFonts w:eastAsia="Calibri"/>
          <w:spacing w:val="-2"/>
          <w:lang w:val="en-US" w:eastAsia="en-US"/>
        </w:rPr>
        <w:t>realise</w:t>
      </w:r>
      <w:proofErr w:type="spellEnd"/>
      <w:r w:rsidR="00AD1719" w:rsidRPr="00E4449B">
        <w:rPr>
          <w:rFonts w:eastAsia="Calibri"/>
          <w:spacing w:val="-2"/>
          <w:lang w:val="en-US" w:eastAsia="en-US"/>
        </w:rPr>
        <w:t xml:space="preserve"> </w:t>
      </w:r>
      <w:r w:rsidR="002A6012" w:rsidRPr="00E4449B">
        <w:rPr>
          <w:rFonts w:eastAsia="Calibri"/>
          <w:spacing w:val="-2"/>
          <w:lang w:val="en-US" w:eastAsia="en-US"/>
        </w:rPr>
        <w:t xml:space="preserve">the </w:t>
      </w:r>
      <w:r w:rsidR="002A6012" w:rsidRPr="00E4449B">
        <w:rPr>
          <w:rFonts w:eastAsia="Calibri"/>
          <w:i/>
          <w:spacing w:val="-2"/>
          <w:lang w:val="en-US" w:eastAsia="en-US"/>
        </w:rPr>
        <w:t xml:space="preserve">Many Voices </w:t>
      </w:r>
      <w:r w:rsidR="00436841" w:rsidRPr="00E4449B">
        <w:rPr>
          <w:rFonts w:eastAsia="Calibri"/>
          <w:i/>
          <w:spacing w:val="-2"/>
          <w:lang w:val="en-US" w:eastAsia="en-US"/>
        </w:rPr>
        <w:t xml:space="preserve">Indigenous </w:t>
      </w:r>
      <w:r w:rsidR="002A6012" w:rsidRPr="00E4449B">
        <w:rPr>
          <w:rFonts w:eastAsia="Calibri"/>
          <w:i/>
          <w:spacing w:val="-2"/>
          <w:lang w:val="en-US" w:eastAsia="en-US"/>
        </w:rPr>
        <w:t>Languages Policy</w:t>
      </w:r>
      <w:r w:rsidR="00A06383" w:rsidRPr="00E4449B">
        <w:rPr>
          <w:rFonts w:eastAsia="Calibri"/>
          <w:i/>
          <w:spacing w:val="-2"/>
          <w:lang w:val="en-US" w:eastAsia="en-US"/>
        </w:rPr>
        <w:t>.</w:t>
      </w:r>
    </w:p>
    <w:p w14:paraId="3CAD1932" w14:textId="7D5E1B9A" w:rsidR="002A6012" w:rsidRPr="00E4449B" w:rsidRDefault="00E86FF9" w:rsidP="00D83B53">
      <w:pPr>
        <w:rPr>
          <w:rFonts w:eastAsia="Calibri"/>
          <w:lang w:val="en-US" w:eastAsia="en-US"/>
        </w:rPr>
      </w:pPr>
      <w:proofErr w:type="gramStart"/>
      <w:r w:rsidRPr="00E458C8">
        <w:rPr>
          <w:rFonts w:eastAsia="Calibri"/>
          <w:spacing w:val="-2"/>
          <w:lang w:val="en-US" w:eastAsia="en-US"/>
        </w:rPr>
        <w:t xml:space="preserve">The </w:t>
      </w:r>
      <w:r w:rsidR="00E458C8" w:rsidRPr="00E458C8">
        <w:rPr>
          <w:rFonts w:eastAsia="Calibri"/>
          <w:spacing w:val="-2"/>
          <w:lang w:val="en-US" w:eastAsia="en-US"/>
        </w:rPr>
        <w:t xml:space="preserve">Indigenous </w:t>
      </w:r>
      <w:r w:rsidRPr="00E458C8">
        <w:rPr>
          <w:rFonts w:eastAsia="Calibri"/>
          <w:spacing w:val="-2"/>
          <w:lang w:val="en-US" w:eastAsia="en-US"/>
        </w:rPr>
        <w:t>Languages</w:t>
      </w:r>
      <w:r w:rsidRPr="00E4449B">
        <w:rPr>
          <w:rFonts w:eastAsia="Calibri"/>
          <w:spacing w:val="-17"/>
          <w:lang w:val="en-US" w:eastAsia="en-US"/>
        </w:rPr>
        <w:t xml:space="preserve"> </w:t>
      </w:r>
      <w:r w:rsidRPr="00E4449B">
        <w:rPr>
          <w:rFonts w:eastAsia="Calibri"/>
          <w:spacing w:val="-2"/>
          <w:lang w:val="en-US" w:eastAsia="en-US"/>
        </w:rPr>
        <w:t>Gr</w:t>
      </w:r>
      <w:r w:rsidRPr="00E4449B">
        <w:rPr>
          <w:rFonts w:eastAsia="Calibri"/>
          <w:lang w:val="en-US" w:eastAsia="en-US"/>
        </w:rPr>
        <w:t>ants</w:t>
      </w:r>
      <w:r w:rsidRPr="00E4449B">
        <w:rPr>
          <w:rFonts w:eastAsia="Calibri"/>
          <w:spacing w:val="-2"/>
          <w:lang w:val="en-US" w:eastAsia="en-US"/>
        </w:rPr>
        <w:t>,</w:t>
      </w:r>
      <w:proofErr w:type="gramEnd"/>
      <w:r w:rsidRPr="00E4449B">
        <w:rPr>
          <w:rFonts w:eastAsia="Calibri"/>
          <w:spacing w:val="-16"/>
          <w:lang w:val="en-US" w:eastAsia="en-US"/>
        </w:rPr>
        <w:t xml:space="preserve"> </w:t>
      </w:r>
      <w:r w:rsidR="00E458C8">
        <w:rPr>
          <w:rFonts w:eastAsia="Calibri"/>
          <w:lang w:val="en-US" w:eastAsia="en-US"/>
        </w:rPr>
        <w:t xml:space="preserve">jointly </w:t>
      </w:r>
      <w:r w:rsidRPr="00E4449B">
        <w:rPr>
          <w:rFonts w:eastAsia="Calibri"/>
          <w:spacing w:val="-2"/>
          <w:lang w:val="en-US" w:eastAsia="en-US"/>
        </w:rPr>
        <w:t>f</w:t>
      </w:r>
      <w:r w:rsidRPr="00E4449B">
        <w:rPr>
          <w:rFonts w:eastAsia="Calibri"/>
          <w:lang w:val="en-US" w:eastAsia="en-US"/>
        </w:rPr>
        <w:t>unded</w:t>
      </w:r>
      <w:r w:rsidRPr="00E4449B">
        <w:rPr>
          <w:rFonts w:eastAsia="Calibri"/>
          <w:spacing w:val="-17"/>
          <w:lang w:val="en-US" w:eastAsia="en-US"/>
        </w:rPr>
        <w:t xml:space="preserve"> </w:t>
      </w:r>
      <w:r w:rsidRPr="00E4449B">
        <w:rPr>
          <w:rFonts w:eastAsia="Calibri"/>
          <w:lang w:val="en-US" w:eastAsia="en-US"/>
        </w:rPr>
        <w:t>b</w:t>
      </w:r>
      <w:r w:rsidRPr="00E4449B">
        <w:rPr>
          <w:rFonts w:eastAsia="Calibri"/>
          <w:spacing w:val="-2"/>
          <w:lang w:val="en-US" w:eastAsia="en-US"/>
        </w:rPr>
        <w:t>y</w:t>
      </w:r>
      <w:r w:rsidRPr="00E458C8">
        <w:rPr>
          <w:rFonts w:eastAsia="Calibri"/>
          <w:lang w:val="en-US" w:eastAsia="en-US"/>
        </w:rPr>
        <w:t xml:space="preserve"> </w:t>
      </w:r>
      <w:r w:rsidR="00E458C8" w:rsidRPr="00E458C8">
        <w:rPr>
          <w:rFonts w:eastAsia="Calibri"/>
          <w:lang w:val="en-US" w:eastAsia="en-US"/>
        </w:rPr>
        <w:t xml:space="preserve">this department </w:t>
      </w:r>
      <w:r w:rsidRPr="00E4449B">
        <w:rPr>
          <w:rFonts w:eastAsia="Calibri"/>
          <w:spacing w:val="-2"/>
          <w:lang w:val="en-US" w:eastAsia="en-US"/>
        </w:rPr>
        <w:t>and the Department of Education</w:t>
      </w:r>
      <w:r w:rsidR="00E458C8">
        <w:rPr>
          <w:rFonts w:eastAsia="Calibri"/>
          <w:spacing w:val="-2"/>
          <w:lang w:val="en-US" w:eastAsia="en-US"/>
        </w:rPr>
        <w:t xml:space="preserve"> </w:t>
      </w:r>
      <w:r w:rsidRPr="00E4449B">
        <w:rPr>
          <w:rFonts w:eastAsia="Calibri"/>
          <w:lang w:val="en-US" w:eastAsia="en-US"/>
        </w:rPr>
        <w:t xml:space="preserve">was launched in </w:t>
      </w:r>
      <w:r w:rsidR="00436841" w:rsidRPr="00E4449B">
        <w:rPr>
          <w:rFonts w:eastAsia="Calibri"/>
          <w:lang w:val="en-US" w:eastAsia="en-US"/>
        </w:rPr>
        <w:t>August 2020</w:t>
      </w:r>
      <w:r w:rsidRPr="00E4449B">
        <w:rPr>
          <w:rFonts w:eastAsia="Calibri"/>
          <w:lang w:val="en-US" w:eastAsia="en-US"/>
        </w:rPr>
        <w:t xml:space="preserve">. </w:t>
      </w:r>
      <w:r w:rsidR="00E458C8">
        <w:rPr>
          <w:rFonts w:eastAsia="Calibri"/>
          <w:lang w:val="en-US" w:eastAsia="en-US"/>
        </w:rPr>
        <w:t>The program provides grants totaling $200,000 to revitalize and preserve Aboriginal and Torres Strait Islander languages and dialects.</w:t>
      </w:r>
    </w:p>
    <w:p w14:paraId="74A20395" w14:textId="4FA9A115" w:rsidR="003C0DB9" w:rsidRPr="00E4449B" w:rsidRDefault="00436841" w:rsidP="00D83B53">
      <w:pPr>
        <w:rPr>
          <w:rFonts w:eastAsia="Calibri"/>
          <w:spacing w:val="-2"/>
          <w:lang w:val="en-US" w:eastAsia="en-US"/>
        </w:rPr>
      </w:pPr>
      <w:r w:rsidRPr="00E458C8">
        <w:rPr>
          <w:rFonts w:eastAsia="Calibri"/>
          <w:spacing w:val="-2"/>
          <w:lang w:val="en-US" w:eastAsia="en-US"/>
        </w:rPr>
        <w:t xml:space="preserve">The Indigenous Languages Grants complements the </w:t>
      </w:r>
      <w:r w:rsidRPr="00E458C8">
        <w:rPr>
          <w:rFonts w:eastAsia="Calibri"/>
          <w:i/>
          <w:iCs/>
          <w:spacing w:val="-2"/>
          <w:lang w:val="en-US" w:eastAsia="en-US"/>
        </w:rPr>
        <w:t>Many Voices: Indigenous Languages Policy</w:t>
      </w:r>
      <w:r w:rsidRPr="00E458C8">
        <w:rPr>
          <w:rFonts w:eastAsia="Calibri"/>
          <w:spacing w:val="-2"/>
          <w:lang w:val="en-US" w:eastAsia="en-US"/>
        </w:rPr>
        <w:t xml:space="preserve"> and fulfills the requirements under </w:t>
      </w:r>
      <w:r w:rsidR="002971AD" w:rsidRPr="00E458C8">
        <w:rPr>
          <w:rFonts w:eastAsia="Calibri"/>
          <w:spacing w:val="-2"/>
          <w:lang w:val="en-US" w:eastAsia="en-US"/>
        </w:rPr>
        <w:t>T</w:t>
      </w:r>
      <w:r w:rsidR="006409EF" w:rsidRPr="00E458C8">
        <w:rPr>
          <w:rFonts w:eastAsia="Calibri"/>
          <w:spacing w:val="-2"/>
          <w:lang w:val="en-US" w:eastAsia="en-US"/>
        </w:rPr>
        <w:t>arget</w:t>
      </w:r>
      <w:r w:rsidRPr="00E458C8">
        <w:rPr>
          <w:rFonts w:eastAsia="Calibri"/>
          <w:spacing w:val="-2"/>
          <w:lang w:val="en-US" w:eastAsia="en-US"/>
        </w:rPr>
        <w:t xml:space="preserve"> 16 </w:t>
      </w:r>
      <w:r w:rsidR="00E458C8" w:rsidRPr="00E458C8">
        <w:rPr>
          <w:rFonts w:eastAsia="Calibri"/>
          <w:spacing w:val="-2"/>
          <w:lang w:val="en-US" w:eastAsia="en-US"/>
        </w:rPr>
        <w:t xml:space="preserve">- </w:t>
      </w:r>
      <w:r w:rsidR="00B06F2C" w:rsidRPr="00E458C8">
        <w:rPr>
          <w:rFonts w:eastAsia="Calibri"/>
          <w:spacing w:val="-2"/>
          <w:lang w:val="en-US" w:eastAsia="en-US"/>
        </w:rPr>
        <w:t>Cultures and languages are strong, supported and flourishing</w:t>
      </w:r>
      <w:r w:rsidR="00E458C8" w:rsidRPr="00E458C8">
        <w:rPr>
          <w:rFonts w:eastAsia="Calibri"/>
          <w:spacing w:val="-2"/>
          <w:lang w:val="en-US" w:eastAsia="en-US"/>
        </w:rPr>
        <w:t xml:space="preserve"> </w:t>
      </w:r>
      <w:r w:rsidRPr="00E458C8">
        <w:rPr>
          <w:rFonts w:eastAsia="Calibri"/>
          <w:spacing w:val="-2"/>
          <w:lang w:val="en-US" w:eastAsia="en-US"/>
        </w:rPr>
        <w:t xml:space="preserve">of the </w:t>
      </w:r>
      <w:r w:rsidRPr="00E458C8">
        <w:rPr>
          <w:rFonts w:eastAsia="Calibri"/>
          <w:i/>
          <w:iCs/>
          <w:spacing w:val="-2"/>
          <w:lang w:val="en-US" w:eastAsia="en-US"/>
        </w:rPr>
        <w:t>National Agreement on Closing the Gap</w:t>
      </w:r>
      <w:r w:rsidRPr="00E458C8">
        <w:rPr>
          <w:rFonts w:eastAsia="Calibri"/>
          <w:spacing w:val="-2"/>
          <w:lang w:val="en-US" w:eastAsia="en-US"/>
        </w:rPr>
        <w:t>.</w:t>
      </w:r>
      <w:r w:rsidR="00B06F2C" w:rsidRPr="00E458C8">
        <w:rPr>
          <w:rFonts w:eastAsia="Calibri"/>
          <w:spacing w:val="-2"/>
          <w:lang w:val="en-US" w:eastAsia="en-US"/>
        </w:rPr>
        <w:t xml:space="preserve"> This national target aims that by 2031, there is a sustained increased in number and strength of Aboriginal and Torres Strait Islander languages being spoken.</w:t>
      </w:r>
      <w:r w:rsidR="00B06F2C">
        <w:rPr>
          <w:rFonts w:eastAsia="Calibri"/>
          <w:spacing w:val="-2"/>
          <w:lang w:val="en-US" w:eastAsia="en-US"/>
        </w:rPr>
        <w:t xml:space="preserve"> </w:t>
      </w:r>
    </w:p>
    <w:p w14:paraId="06464569" w14:textId="77777777" w:rsidR="00AD1719" w:rsidRPr="00D83B53" w:rsidRDefault="00AD1719" w:rsidP="00D21656">
      <w:pPr>
        <w:pStyle w:val="Heading4"/>
      </w:pPr>
      <w:bookmarkStart w:id="48" w:name="_Toc67046709"/>
      <w:r w:rsidRPr="00D83B53">
        <w:t>Key achievements</w:t>
      </w:r>
    </w:p>
    <w:p w14:paraId="50E18E42" w14:textId="26048065" w:rsidR="00AD1719" w:rsidRPr="00E4449B" w:rsidRDefault="00326C8A" w:rsidP="00D83B53">
      <w:pPr>
        <w:rPr>
          <w:rFonts w:eastAsia="Calibri"/>
          <w:lang w:val="en-US" w:eastAsia="en-US"/>
        </w:rPr>
      </w:pPr>
      <w:r w:rsidRPr="00E4449B">
        <w:rPr>
          <w:rFonts w:eastAsia="Calibri"/>
          <w:lang w:val="en-US" w:eastAsia="en-US"/>
        </w:rPr>
        <w:t>During the reporting period, t</w:t>
      </w:r>
      <w:r w:rsidR="00AD1719" w:rsidRPr="00E4449B">
        <w:rPr>
          <w:rFonts w:eastAsia="Calibri"/>
          <w:lang w:val="en-US" w:eastAsia="en-US"/>
        </w:rPr>
        <w:t>he</w:t>
      </w:r>
      <w:r w:rsidR="00AD1719" w:rsidRPr="00E4449B">
        <w:rPr>
          <w:rFonts w:eastAsia="Calibri"/>
          <w:spacing w:val="-14"/>
          <w:lang w:val="en-US" w:eastAsia="en-US"/>
        </w:rPr>
        <w:t xml:space="preserve"> </w:t>
      </w:r>
      <w:r w:rsidR="00AD1719" w:rsidRPr="00E4449B">
        <w:rPr>
          <w:rFonts w:eastAsia="Calibri"/>
          <w:spacing w:val="-1"/>
          <w:lang w:val="en-US" w:eastAsia="en-US"/>
        </w:rPr>
        <w:t>dep</w:t>
      </w:r>
      <w:r w:rsidR="00AD1719" w:rsidRPr="00E4449B">
        <w:rPr>
          <w:rFonts w:eastAsia="Calibri"/>
          <w:spacing w:val="-2"/>
          <w:lang w:val="en-US" w:eastAsia="en-US"/>
        </w:rPr>
        <w:t>artment:</w:t>
      </w:r>
    </w:p>
    <w:p w14:paraId="1EA01740" w14:textId="77777777" w:rsidR="006409EF" w:rsidRPr="00B06F2C" w:rsidRDefault="00AD1719" w:rsidP="00D83B53">
      <w:pPr>
        <w:pStyle w:val="ListBullet"/>
        <w:rPr>
          <w:i/>
          <w:iCs/>
        </w:rPr>
      </w:pPr>
      <w:r w:rsidRPr="00D83B53">
        <w:rPr>
          <w:rFonts w:eastAsia="Calibri"/>
        </w:rPr>
        <w:lastRenderedPageBreak/>
        <w:t xml:space="preserve">developed a whole-of-government </w:t>
      </w:r>
      <w:r w:rsidRPr="00B06F2C">
        <w:rPr>
          <w:rFonts w:eastAsia="Calibri"/>
          <w:i/>
          <w:iCs/>
        </w:rPr>
        <w:t>Many Voices Queensland Aboriginal and Torres Strait Islander Language Policy Action Plan 2020-22</w:t>
      </w:r>
    </w:p>
    <w:p w14:paraId="781B4DE5" w14:textId="227535E0" w:rsidR="00AD1719" w:rsidRPr="00D83B53" w:rsidRDefault="006409EF" w:rsidP="00D83B53">
      <w:pPr>
        <w:pStyle w:val="ListBullet"/>
      </w:pPr>
      <w:r w:rsidRPr="00D83B53">
        <w:rPr>
          <w:rFonts w:eastAsia="Calibri"/>
        </w:rPr>
        <w:t xml:space="preserve">co-ordinated and delivered the </w:t>
      </w:r>
      <w:r w:rsidR="003D516F">
        <w:rPr>
          <w:rFonts w:eastAsia="Calibri"/>
        </w:rPr>
        <w:t xml:space="preserve">2020 </w:t>
      </w:r>
      <w:r w:rsidRPr="00D83B53">
        <w:rPr>
          <w:rFonts w:eastAsia="Calibri"/>
        </w:rPr>
        <w:t>grants program</w:t>
      </w:r>
      <w:r w:rsidR="00AD1719" w:rsidRPr="00D83B53">
        <w:rPr>
          <w:rFonts w:eastAsia="Calibri"/>
        </w:rPr>
        <w:t>.</w:t>
      </w:r>
    </w:p>
    <w:p w14:paraId="31BCB602" w14:textId="0CB6D26E" w:rsidR="00E86FF9" w:rsidRPr="00E4449B" w:rsidRDefault="00E86FF9" w:rsidP="007524AB">
      <w:pPr>
        <w:pStyle w:val="Heading3"/>
      </w:pPr>
      <w:bookmarkStart w:id="49" w:name="_Toc78287374"/>
      <w:bookmarkStart w:id="50" w:name="_Toc78355781"/>
      <w:r w:rsidRPr="00E4449B">
        <w:t>Queensland Government Reconciliation Action Plan</w:t>
      </w:r>
      <w:bookmarkEnd w:id="48"/>
      <w:bookmarkEnd w:id="49"/>
      <w:bookmarkEnd w:id="50"/>
    </w:p>
    <w:p w14:paraId="2F9F434B" w14:textId="7F4F1369" w:rsidR="00E86FF9" w:rsidRPr="00E4449B" w:rsidRDefault="00E86FF9" w:rsidP="00D83B53">
      <w:r w:rsidRPr="00E4449B">
        <w:t xml:space="preserve">The department oversees the implementation of the </w:t>
      </w:r>
      <w:r w:rsidRPr="00E4449B">
        <w:rPr>
          <w:i/>
        </w:rPr>
        <w:t>Queensland Government Reconciliation Action Plan 2018–</w:t>
      </w:r>
      <w:r w:rsidR="00436841" w:rsidRPr="00E4449B">
        <w:rPr>
          <w:i/>
        </w:rPr>
        <w:t>2021</w:t>
      </w:r>
      <w:r w:rsidR="00436841" w:rsidRPr="00E4449B">
        <w:t xml:space="preserve"> </w:t>
      </w:r>
      <w:r w:rsidR="006409EF" w:rsidRPr="00E4449B">
        <w:t>(</w:t>
      </w:r>
      <w:r w:rsidR="00832BAE" w:rsidRPr="00E4449B">
        <w:t>Reconciliation Action Plan</w:t>
      </w:r>
      <w:r w:rsidR="006409EF" w:rsidRPr="00E4449B">
        <w:t xml:space="preserve">) </w:t>
      </w:r>
      <w:r w:rsidR="00436841" w:rsidRPr="00E4449B">
        <w:t>and</w:t>
      </w:r>
      <w:r w:rsidRPr="00E4449B">
        <w:t xml:space="preserve"> is responsible for coordinating </w:t>
      </w:r>
      <w:r w:rsidR="0017270E" w:rsidRPr="00E4449B">
        <w:t>the</w:t>
      </w:r>
      <w:r w:rsidRPr="00E4449B">
        <w:t xml:space="preserve"> implementation </w:t>
      </w:r>
      <w:r w:rsidR="0017270E" w:rsidRPr="00E4449B">
        <w:t xml:space="preserve">of the </w:t>
      </w:r>
      <w:r w:rsidR="003D516F">
        <w:t>p</w:t>
      </w:r>
      <w:r w:rsidR="0017270E" w:rsidRPr="00E4449B">
        <w:t xml:space="preserve">lan </w:t>
      </w:r>
      <w:r w:rsidRPr="00E4449B">
        <w:t>through the Cultural Agency Leaders committee.</w:t>
      </w:r>
    </w:p>
    <w:p w14:paraId="0BE5628D" w14:textId="17A88D9F" w:rsidR="00E86FF9" w:rsidRPr="00E4449B" w:rsidRDefault="00E86FF9" w:rsidP="00D83B53">
      <w:r w:rsidRPr="00E4449B">
        <w:t xml:space="preserve">The </w:t>
      </w:r>
      <w:r w:rsidR="00C462E3" w:rsidRPr="00E4449B">
        <w:t>R</w:t>
      </w:r>
      <w:r w:rsidR="00832BAE" w:rsidRPr="00E4449B">
        <w:t>econciliation Action Plan</w:t>
      </w:r>
      <w:r w:rsidR="00C462E3" w:rsidRPr="00E4449B">
        <w:t xml:space="preserve"> </w:t>
      </w:r>
      <w:r w:rsidRPr="00E4449B">
        <w:t>demonstrates the Queensland Government’s public commitment to building stronger relationships between Aboriginal peoples and Torres Strait Islander peoples, and non-Indigenous Queenslanders. It aims to build on our collective efforts to ensure equality, equity, recognition and advancement of Aboriginal peoples and Torres Strait Islander peoples across all aspects of society and in everyday life.</w:t>
      </w:r>
      <w:r w:rsidR="002A6012" w:rsidRPr="00E4449B">
        <w:t xml:space="preserve"> The Reconciliation Action Plan is also a mechanism enabling accountability from agencies to build better relationships through a commitment to understand</w:t>
      </w:r>
      <w:r w:rsidR="0017270E" w:rsidRPr="00E4449B">
        <w:t>ing</w:t>
      </w:r>
      <w:r w:rsidR="002A6012" w:rsidRPr="00E4449B">
        <w:t xml:space="preserve"> the history as it pertains to Aboriginal peoples and Torres Strait Islander peoples</w:t>
      </w:r>
      <w:r w:rsidR="0017270E" w:rsidRPr="00E4449B">
        <w:t>.</w:t>
      </w:r>
    </w:p>
    <w:p w14:paraId="7A026794" w14:textId="657838A3" w:rsidR="00E86FF9" w:rsidRPr="00E4449B" w:rsidRDefault="00E86FF9" w:rsidP="00D83B53">
      <w:r w:rsidRPr="00E4449B">
        <w:t xml:space="preserve">The </w:t>
      </w:r>
      <w:r w:rsidR="00832BAE" w:rsidRPr="00E4449B">
        <w:t xml:space="preserve">Reconciliation Action Plan </w:t>
      </w:r>
      <w:r w:rsidRPr="00E4449B">
        <w:t xml:space="preserve">includes a suite of engagement activities that will build on and strengthen </w:t>
      </w:r>
      <w:r w:rsidR="00436841" w:rsidRPr="00E4449B">
        <w:t>partnerships, and</w:t>
      </w:r>
      <w:r w:rsidRPr="00E4449B">
        <w:t xml:space="preserve"> empower local communities</w:t>
      </w:r>
      <w:r w:rsidR="0017270E" w:rsidRPr="00E4449B">
        <w:t>,</w:t>
      </w:r>
      <w:r w:rsidRPr="00E4449B">
        <w:t xml:space="preserve"> to achieve positive and practical outcomes.</w:t>
      </w:r>
    </w:p>
    <w:p w14:paraId="494C86FC" w14:textId="5400FE56" w:rsidR="00E86FF9" w:rsidRPr="00E4449B" w:rsidRDefault="00E86FF9" w:rsidP="00D83B53">
      <w:r w:rsidRPr="00E4449B">
        <w:t>The department is also responsible for leading whole-of-government initiatives that promote reconciliation, including providing funding for Reconciliation Queensland Incorporated</w:t>
      </w:r>
      <w:r w:rsidR="0017270E" w:rsidRPr="00E4449B">
        <w:t>,</w:t>
      </w:r>
      <w:r w:rsidRPr="00E4449B">
        <w:t xml:space="preserve"> and implementing the Celebrating Reconciliation Small Grants Program.</w:t>
      </w:r>
    </w:p>
    <w:p w14:paraId="17E352E2" w14:textId="2BA07D30" w:rsidR="00E86FF9" w:rsidRPr="00E4449B" w:rsidRDefault="00E86FF9" w:rsidP="00D83B53">
      <w:r w:rsidRPr="00E4449B">
        <w:t xml:space="preserve">Queensland Government agencies celebrated </w:t>
      </w:r>
      <w:r w:rsidR="00ED2F79">
        <w:t xml:space="preserve">the </w:t>
      </w:r>
      <w:r w:rsidRPr="00E4449B">
        <w:t>2020 National Reconciliation Week in a variety of ways. This included podcasts, sharing videos on the meaning of reconciliation, virtual yarns and online painting sessions.</w:t>
      </w:r>
    </w:p>
    <w:p w14:paraId="06EF59B5" w14:textId="360B97DD" w:rsidR="00E86FF9" w:rsidRPr="00D83B53" w:rsidRDefault="00E43202" w:rsidP="00D21656">
      <w:pPr>
        <w:pStyle w:val="Heading4"/>
      </w:pPr>
      <w:r>
        <w:br w:type="column"/>
      </w:r>
      <w:r w:rsidR="00E86FF9" w:rsidRPr="00D83B53">
        <w:lastRenderedPageBreak/>
        <w:t>Key achievements</w:t>
      </w:r>
    </w:p>
    <w:p w14:paraId="35C1FFD5" w14:textId="77777777" w:rsidR="00326C8A" w:rsidRPr="00E4449B" w:rsidRDefault="00326C8A" w:rsidP="00D83B53">
      <w:pPr>
        <w:rPr>
          <w:rFonts w:eastAsia="Calibri"/>
          <w:lang w:val="en-US" w:eastAsia="en-US"/>
        </w:rPr>
      </w:pPr>
      <w:r w:rsidRPr="00E4449B">
        <w:rPr>
          <w:rFonts w:eastAsia="Calibri"/>
          <w:lang w:val="en-US" w:eastAsia="en-US"/>
        </w:rPr>
        <w:t>During the reporting period, the</w:t>
      </w:r>
      <w:r w:rsidRPr="00E4449B">
        <w:rPr>
          <w:rFonts w:eastAsia="Calibri"/>
          <w:spacing w:val="-14"/>
          <w:lang w:val="en-US" w:eastAsia="en-US"/>
        </w:rPr>
        <w:t xml:space="preserve"> </w:t>
      </w:r>
      <w:r w:rsidRPr="00E4449B">
        <w:rPr>
          <w:rFonts w:eastAsia="Calibri"/>
          <w:spacing w:val="-1"/>
          <w:lang w:val="en-US" w:eastAsia="en-US"/>
        </w:rPr>
        <w:t>dep</w:t>
      </w:r>
      <w:r w:rsidRPr="00E4449B">
        <w:rPr>
          <w:rFonts w:eastAsia="Calibri"/>
          <w:spacing w:val="-2"/>
          <w:lang w:val="en-US" w:eastAsia="en-US"/>
        </w:rPr>
        <w:t>artment:</w:t>
      </w:r>
    </w:p>
    <w:p w14:paraId="70EB60CF" w14:textId="62765AF9" w:rsidR="00E86FF9" w:rsidRPr="00D83B53" w:rsidRDefault="00436841" w:rsidP="00D83B53">
      <w:pPr>
        <w:pStyle w:val="ListBullet"/>
      </w:pPr>
      <w:r w:rsidRPr="00D83B53">
        <w:t xml:space="preserve">improved </w:t>
      </w:r>
      <w:r w:rsidR="0017270E" w:rsidRPr="00D83B53">
        <w:t xml:space="preserve">the </w:t>
      </w:r>
      <w:r w:rsidRPr="00D83B53">
        <w:t>whole-of-government reporting process by streamlining data collection through the inclusion of additional Workforce Strategy and Cultural Capability training</w:t>
      </w:r>
      <w:r w:rsidR="0017270E" w:rsidRPr="00D83B53">
        <w:t xml:space="preserve"> data</w:t>
      </w:r>
      <w:r w:rsidR="000933CC" w:rsidRPr="00D83B53">
        <w:t>.</w:t>
      </w:r>
      <w:r w:rsidRPr="00D83B53">
        <w:t xml:space="preserve"> </w:t>
      </w:r>
    </w:p>
    <w:p w14:paraId="10EDD06D" w14:textId="3CC72CF0" w:rsidR="00E86FF9" w:rsidRPr="00E4449B" w:rsidRDefault="00E86FF9" w:rsidP="007524AB">
      <w:pPr>
        <w:pStyle w:val="Heading3"/>
      </w:pPr>
      <w:bookmarkStart w:id="51" w:name="_Toc67046710"/>
      <w:bookmarkStart w:id="52" w:name="_Toc78287375"/>
      <w:bookmarkStart w:id="53" w:name="_Toc78355782"/>
      <w:r w:rsidRPr="00E4449B">
        <w:t>Culturally significant events</w:t>
      </w:r>
      <w:bookmarkEnd w:id="51"/>
      <w:bookmarkEnd w:id="52"/>
      <w:bookmarkEnd w:id="53"/>
    </w:p>
    <w:p w14:paraId="4AAED915" w14:textId="0E2BF4C3" w:rsidR="00A35725" w:rsidRPr="00E4449B" w:rsidRDefault="002A6012" w:rsidP="00D83B53">
      <w:pPr>
        <w:rPr>
          <w:spacing w:val="-2"/>
        </w:rPr>
      </w:pPr>
      <w:r w:rsidRPr="00E4449B">
        <w:rPr>
          <w:lang w:eastAsia="en-US"/>
        </w:rPr>
        <w:t>The department provided leadership to the</w:t>
      </w:r>
      <w:r w:rsidR="00A35725" w:rsidRPr="00E4449B">
        <w:rPr>
          <w:rFonts w:ascii="Calibri" w:eastAsia="Calibri" w:hAnsi="Calibri" w:cs="Times New Roman"/>
          <w:color w:val="414042"/>
          <w:sz w:val="20"/>
          <w:szCs w:val="20"/>
          <w:lang w:val="en-US" w:eastAsia="en-US"/>
        </w:rPr>
        <w:t xml:space="preserve"> </w:t>
      </w:r>
      <w:r w:rsidR="00A35725" w:rsidRPr="00E4449B">
        <w:t>whole-of-government initiatives that recognise, acknowledge and maintain Aboriginal and Torres Strait Islander cultures and heritage including promotion of culturally significant days and events</w:t>
      </w:r>
      <w:r w:rsidRPr="00E4449B">
        <w:t>.</w:t>
      </w:r>
    </w:p>
    <w:p w14:paraId="0E619661" w14:textId="2705061F" w:rsidR="00E86FF9" w:rsidRPr="00E4449B" w:rsidRDefault="00E86FF9" w:rsidP="00D83B53">
      <w:r w:rsidRPr="00E4449B">
        <w:rPr>
          <w:spacing w:val="-2"/>
        </w:rPr>
        <w:t>Nation</w:t>
      </w:r>
      <w:r w:rsidRPr="00E4449B">
        <w:t>al</w:t>
      </w:r>
      <w:r w:rsidRPr="00E4449B">
        <w:rPr>
          <w:spacing w:val="-13"/>
        </w:rPr>
        <w:t xml:space="preserve"> </w:t>
      </w:r>
      <w:r w:rsidRPr="00E4449B">
        <w:rPr>
          <w:spacing w:val="-2"/>
        </w:rPr>
        <w:t>A</w:t>
      </w:r>
      <w:r w:rsidRPr="00E4449B">
        <w:t>borigines</w:t>
      </w:r>
      <w:r w:rsidRPr="00E4449B">
        <w:rPr>
          <w:spacing w:val="-12"/>
        </w:rPr>
        <w:t xml:space="preserve"> </w:t>
      </w:r>
      <w:r w:rsidRPr="00E4449B">
        <w:t>and</w:t>
      </w:r>
      <w:r w:rsidRPr="00E4449B">
        <w:rPr>
          <w:spacing w:val="-12"/>
        </w:rPr>
        <w:t xml:space="preserve"> </w:t>
      </w:r>
      <w:r w:rsidRPr="00E4449B">
        <w:t>Island</w:t>
      </w:r>
      <w:r w:rsidRPr="00E4449B">
        <w:rPr>
          <w:spacing w:val="-2"/>
        </w:rPr>
        <w:t>er</w:t>
      </w:r>
      <w:r w:rsidRPr="00E4449B">
        <w:t>s</w:t>
      </w:r>
      <w:r w:rsidRPr="00E4449B">
        <w:rPr>
          <w:spacing w:val="-13"/>
        </w:rPr>
        <w:t xml:space="preserve"> </w:t>
      </w:r>
      <w:r w:rsidRPr="00E4449B">
        <w:t>Da</w:t>
      </w:r>
      <w:r w:rsidRPr="00E4449B">
        <w:rPr>
          <w:spacing w:val="-2"/>
        </w:rPr>
        <w:t>y</w:t>
      </w:r>
      <w:r w:rsidRPr="00E4449B">
        <w:rPr>
          <w:spacing w:val="-12"/>
        </w:rPr>
        <w:t xml:space="preserve"> </w:t>
      </w:r>
      <w:r w:rsidRPr="00E4449B">
        <w:t>Obser</w:t>
      </w:r>
      <w:r w:rsidRPr="00E4449B">
        <w:rPr>
          <w:spacing w:val="-2"/>
        </w:rPr>
        <w:t>v</w:t>
      </w:r>
      <w:r w:rsidRPr="00E4449B">
        <w:t>anc</w:t>
      </w:r>
      <w:r w:rsidRPr="00E4449B">
        <w:rPr>
          <w:spacing w:val="-2"/>
        </w:rPr>
        <w:t>e</w:t>
      </w:r>
      <w:r w:rsidRPr="00E4449B">
        <w:rPr>
          <w:spacing w:val="-11"/>
        </w:rPr>
        <w:t xml:space="preserve"> </w:t>
      </w:r>
      <w:r w:rsidRPr="00E4449B">
        <w:t>C</w:t>
      </w:r>
      <w:r w:rsidRPr="00E4449B">
        <w:rPr>
          <w:spacing w:val="-2"/>
        </w:rPr>
        <w:t>ommittee</w:t>
      </w:r>
      <w:r w:rsidRPr="00E4449B">
        <w:rPr>
          <w:spacing w:val="61"/>
          <w:w w:val="95"/>
        </w:rPr>
        <w:t xml:space="preserve"> </w:t>
      </w:r>
      <w:r w:rsidRPr="00E4449B">
        <w:t>(NAIDOC)</w:t>
      </w:r>
      <w:r w:rsidRPr="00E4449B">
        <w:rPr>
          <w:spacing w:val="-16"/>
        </w:rPr>
        <w:t xml:space="preserve"> </w:t>
      </w:r>
      <w:r w:rsidRPr="00E4449B">
        <w:t>Week</w:t>
      </w:r>
      <w:r w:rsidRPr="00E4449B">
        <w:rPr>
          <w:spacing w:val="-19"/>
        </w:rPr>
        <w:t xml:space="preserve"> </w:t>
      </w:r>
      <w:r w:rsidRPr="00E4449B">
        <w:t>is</w:t>
      </w:r>
      <w:r w:rsidRPr="00E4449B">
        <w:rPr>
          <w:spacing w:val="-16"/>
        </w:rPr>
        <w:t xml:space="preserve"> </w:t>
      </w:r>
      <w:r w:rsidRPr="00E4449B">
        <w:t>the</w:t>
      </w:r>
      <w:r w:rsidRPr="00E4449B">
        <w:rPr>
          <w:spacing w:val="-14"/>
        </w:rPr>
        <w:t xml:space="preserve"> </w:t>
      </w:r>
      <w:r w:rsidRPr="00E4449B">
        <w:rPr>
          <w:spacing w:val="-2"/>
        </w:rPr>
        <w:t>mo</w:t>
      </w:r>
      <w:r w:rsidRPr="00E4449B">
        <w:t>s</w:t>
      </w:r>
      <w:r w:rsidRPr="00E4449B">
        <w:rPr>
          <w:spacing w:val="-2"/>
        </w:rPr>
        <w:t>t</w:t>
      </w:r>
      <w:r w:rsidRPr="00E4449B">
        <w:rPr>
          <w:spacing w:val="-16"/>
        </w:rPr>
        <w:t xml:space="preserve"> </w:t>
      </w:r>
      <w:r w:rsidRPr="00E4449B">
        <w:t>signific</w:t>
      </w:r>
      <w:r w:rsidRPr="00E4449B">
        <w:rPr>
          <w:spacing w:val="-2"/>
        </w:rPr>
        <w:t>ant</w:t>
      </w:r>
      <w:r w:rsidRPr="00E4449B">
        <w:rPr>
          <w:spacing w:val="-16"/>
        </w:rPr>
        <w:t xml:space="preserve"> </w:t>
      </w:r>
      <w:r w:rsidRPr="00E4449B">
        <w:t>cu</w:t>
      </w:r>
      <w:r w:rsidRPr="00E4449B">
        <w:rPr>
          <w:spacing w:val="-2"/>
        </w:rPr>
        <w:t>lt</w:t>
      </w:r>
      <w:r w:rsidRPr="00E4449B">
        <w:t>u</w:t>
      </w:r>
      <w:r w:rsidRPr="00E4449B">
        <w:rPr>
          <w:spacing w:val="-2"/>
        </w:rPr>
        <w:t>r</w:t>
      </w:r>
      <w:r w:rsidRPr="00E4449B">
        <w:t>al</w:t>
      </w:r>
      <w:r w:rsidRPr="00E4449B">
        <w:rPr>
          <w:spacing w:val="-16"/>
        </w:rPr>
        <w:t xml:space="preserve"> </w:t>
      </w:r>
      <w:r w:rsidRPr="00E4449B">
        <w:t>cel</w:t>
      </w:r>
      <w:r w:rsidRPr="00E4449B">
        <w:rPr>
          <w:spacing w:val="-2"/>
        </w:rPr>
        <w:t xml:space="preserve">ebration </w:t>
      </w:r>
      <w:r w:rsidRPr="00E4449B">
        <w:t>on</w:t>
      </w:r>
      <w:r w:rsidRPr="00E4449B">
        <w:rPr>
          <w:spacing w:val="-12"/>
        </w:rPr>
        <w:t xml:space="preserve"> </w:t>
      </w:r>
      <w:r w:rsidRPr="00E4449B">
        <w:t>the</w:t>
      </w:r>
      <w:r w:rsidRPr="00E4449B">
        <w:rPr>
          <w:spacing w:val="-11"/>
        </w:rPr>
        <w:t xml:space="preserve"> </w:t>
      </w:r>
      <w:r w:rsidRPr="00E4449B">
        <w:t>calend</w:t>
      </w:r>
      <w:r w:rsidRPr="00E4449B">
        <w:rPr>
          <w:spacing w:val="-2"/>
        </w:rPr>
        <w:t>ar</w:t>
      </w:r>
      <w:r w:rsidRPr="00E4449B">
        <w:rPr>
          <w:spacing w:val="-11"/>
        </w:rPr>
        <w:t xml:space="preserve"> </w:t>
      </w:r>
      <w:r w:rsidRPr="00E4449B">
        <w:rPr>
          <w:spacing w:val="-2"/>
        </w:rPr>
        <w:t>for</w:t>
      </w:r>
      <w:r w:rsidRPr="00E4449B">
        <w:rPr>
          <w:spacing w:val="-11"/>
        </w:rPr>
        <w:t xml:space="preserve"> </w:t>
      </w:r>
      <w:r w:rsidRPr="00E4449B">
        <w:rPr>
          <w:spacing w:val="-2"/>
        </w:rPr>
        <w:t>A</w:t>
      </w:r>
      <w:r w:rsidRPr="00E4449B">
        <w:t>boriginal</w:t>
      </w:r>
      <w:r w:rsidRPr="00E4449B">
        <w:rPr>
          <w:spacing w:val="-12"/>
        </w:rPr>
        <w:t xml:space="preserve"> </w:t>
      </w:r>
      <w:r w:rsidRPr="00E4449B">
        <w:t>and</w:t>
      </w:r>
      <w:r w:rsidRPr="00E4449B">
        <w:rPr>
          <w:spacing w:val="-16"/>
        </w:rPr>
        <w:t xml:space="preserve"> </w:t>
      </w:r>
      <w:r w:rsidRPr="00E4449B">
        <w:rPr>
          <w:spacing w:val="-3"/>
        </w:rPr>
        <w:t>Torre</w:t>
      </w:r>
      <w:r w:rsidRPr="00E4449B">
        <w:rPr>
          <w:spacing w:val="-2"/>
        </w:rPr>
        <w:t>s</w:t>
      </w:r>
      <w:r w:rsidRPr="00E4449B">
        <w:rPr>
          <w:spacing w:val="-15"/>
        </w:rPr>
        <w:t xml:space="preserve"> </w:t>
      </w:r>
      <w:r w:rsidRPr="00E4449B">
        <w:t>St</w:t>
      </w:r>
      <w:r w:rsidRPr="00E4449B">
        <w:rPr>
          <w:spacing w:val="-2"/>
        </w:rPr>
        <w:t>rait</w:t>
      </w:r>
      <w:r w:rsidRPr="00E4449B">
        <w:rPr>
          <w:spacing w:val="-13"/>
        </w:rPr>
        <w:t xml:space="preserve"> </w:t>
      </w:r>
      <w:r w:rsidRPr="00E4449B">
        <w:t>Island</w:t>
      </w:r>
      <w:r w:rsidRPr="00E4449B">
        <w:rPr>
          <w:spacing w:val="-2"/>
        </w:rPr>
        <w:t xml:space="preserve">er </w:t>
      </w:r>
      <w:r w:rsidR="00016A5E" w:rsidRPr="00E4449B">
        <w:rPr>
          <w:spacing w:val="-2"/>
        </w:rPr>
        <w:t>Queen</w:t>
      </w:r>
      <w:r w:rsidR="00016A5E" w:rsidRPr="00E4449B">
        <w:t>sland</w:t>
      </w:r>
      <w:r w:rsidR="00016A5E" w:rsidRPr="00E4449B">
        <w:rPr>
          <w:spacing w:val="-2"/>
        </w:rPr>
        <w:t>er</w:t>
      </w:r>
      <w:r w:rsidR="00016A5E" w:rsidRPr="00E4449B">
        <w:t>s and</w:t>
      </w:r>
      <w:r w:rsidRPr="00E4449B">
        <w:rPr>
          <w:spacing w:val="-12"/>
        </w:rPr>
        <w:t xml:space="preserve"> </w:t>
      </w:r>
      <w:r w:rsidRPr="00E4449B">
        <w:rPr>
          <w:spacing w:val="-2"/>
        </w:rPr>
        <w:t>pre</w:t>
      </w:r>
      <w:r w:rsidRPr="00E4449B">
        <w:t>sents</w:t>
      </w:r>
      <w:r w:rsidRPr="00E4449B">
        <w:rPr>
          <w:spacing w:val="-12"/>
        </w:rPr>
        <w:t xml:space="preserve"> </w:t>
      </w:r>
      <w:r w:rsidRPr="00E4449B">
        <w:t>an</w:t>
      </w:r>
      <w:r w:rsidRPr="00E4449B">
        <w:rPr>
          <w:spacing w:val="-11"/>
        </w:rPr>
        <w:t xml:space="preserve"> </w:t>
      </w:r>
      <w:r w:rsidRPr="00E4449B">
        <w:t>op</w:t>
      </w:r>
      <w:r w:rsidRPr="00E4449B">
        <w:rPr>
          <w:spacing w:val="-2"/>
        </w:rPr>
        <w:t>port</w:t>
      </w:r>
      <w:r w:rsidRPr="00E4449B">
        <w:t>u</w:t>
      </w:r>
      <w:r w:rsidRPr="00E4449B">
        <w:rPr>
          <w:spacing w:val="-2"/>
        </w:rPr>
        <w:t>nity</w:t>
      </w:r>
      <w:r w:rsidRPr="00E4449B">
        <w:rPr>
          <w:spacing w:val="-12"/>
        </w:rPr>
        <w:t xml:space="preserve"> </w:t>
      </w:r>
      <w:r w:rsidRPr="00E4449B">
        <w:rPr>
          <w:spacing w:val="-2"/>
        </w:rPr>
        <w:t>t</w:t>
      </w:r>
      <w:r w:rsidRPr="00E4449B">
        <w:t>o</w:t>
      </w:r>
      <w:r w:rsidRPr="00E4449B">
        <w:rPr>
          <w:spacing w:val="-11"/>
        </w:rPr>
        <w:t xml:space="preserve"> </w:t>
      </w:r>
      <w:r w:rsidRPr="00E4449B">
        <w:rPr>
          <w:spacing w:val="-2"/>
        </w:rPr>
        <w:t>r</w:t>
      </w:r>
      <w:r w:rsidRPr="00E4449B">
        <w:t>aise a</w:t>
      </w:r>
      <w:r w:rsidRPr="00E4449B">
        <w:rPr>
          <w:spacing w:val="-2"/>
        </w:rPr>
        <w:t>warene</w:t>
      </w:r>
      <w:r w:rsidRPr="00E4449B">
        <w:t>ss</w:t>
      </w:r>
      <w:r w:rsidRPr="00E4449B">
        <w:rPr>
          <w:spacing w:val="-12"/>
        </w:rPr>
        <w:t xml:space="preserve"> </w:t>
      </w:r>
      <w:r w:rsidRPr="00E4449B">
        <w:t>and</w:t>
      </w:r>
      <w:r w:rsidRPr="00E4449B">
        <w:rPr>
          <w:spacing w:val="-11"/>
        </w:rPr>
        <w:t xml:space="preserve"> </w:t>
      </w:r>
      <w:r w:rsidRPr="00E4449B">
        <w:t>und</w:t>
      </w:r>
      <w:r w:rsidRPr="00E4449B">
        <w:rPr>
          <w:spacing w:val="-2"/>
        </w:rPr>
        <w:t>er</w:t>
      </w:r>
      <w:r w:rsidRPr="00E4449B">
        <w:t>s</w:t>
      </w:r>
      <w:r w:rsidRPr="00E4449B">
        <w:rPr>
          <w:spacing w:val="-2"/>
        </w:rPr>
        <w:t>t</w:t>
      </w:r>
      <w:r w:rsidRPr="00E4449B">
        <w:t>anding</w:t>
      </w:r>
      <w:r w:rsidRPr="00E4449B">
        <w:rPr>
          <w:spacing w:val="-10"/>
        </w:rPr>
        <w:t xml:space="preserve"> </w:t>
      </w:r>
      <w:r w:rsidRPr="00E4449B">
        <w:t>of</w:t>
      </w:r>
      <w:r w:rsidRPr="00E4449B">
        <w:rPr>
          <w:spacing w:val="-11"/>
        </w:rPr>
        <w:t xml:space="preserve"> </w:t>
      </w:r>
      <w:r w:rsidRPr="00E4449B">
        <w:rPr>
          <w:spacing w:val="-2"/>
        </w:rPr>
        <w:t>A</w:t>
      </w:r>
      <w:r w:rsidRPr="00E4449B">
        <w:t>boriginal</w:t>
      </w:r>
      <w:r w:rsidRPr="00E4449B">
        <w:rPr>
          <w:spacing w:val="-12"/>
        </w:rPr>
        <w:t xml:space="preserve"> </w:t>
      </w:r>
      <w:r w:rsidRPr="00E4449B">
        <w:t>and</w:t>
      </w:r>
      <w:r w:rsidRPr="00E4449B">
        <w:rPr>
          <w:spacing w:val="-14"/>
        </w:rPr>
        <w:t xml:space="preserve"> </w:t>
      </w:r>
      <w:r w:rsidRPr="00E4449B">
        <w:rPr>
          <w:spacing w:val="-3"/>
        </w:rPr>
        <w:t>Torre</w:t>
      </w:r>
      <w:r w:rsidRPr="00E4449B">
        <w:rPr>
          <w:spacing w:val="-2"/>
        </w:rPr>
        <w:t>s</w:t>
      </w:r>
      <w:r w:rsidRPr="00E4449B">
        <w:rPr>
          <w:spacing w:val="-15"/>
        </w:rPr>
        <w:t xml:space="preserve"> </w:t>
      </w:r>
      <w:r w:rsidRPr="00E4449B">
        <w:t>St</w:t>
      </w:r>
      <w:r w:rsidRPr="00E4449B">
        <w:rPr>
          <w:spacing w:val="-2"/>
        </w:rPr>
        <w:t>rait</w:t>
      </w:r>
      <w:r w:rsidRPr="00E4449B">
        <w:rPr>
          <w:spacing w:val="47"/>
          <w:w w:val="97"/>
        </w:rPr>
        <w:t xml:space="preserve"> </w:t>
      </w:r>
      <w:r w:rsidRPr="00E4449B">
        <w:t>Island</w:t>
      </w:r>
      <w:r w:rsidRPr="00E4449B">
        <w:rPr>
          <w:spacing w:val="-2"/>
        </w:rPr>
        <w:t>er</w:t>
      </w:r>
      <w:r w:rsidRPr="00E4449B">
        <w:rPr>
          <w:spacing w:val="-10"/>
        </w:rPr>
        <w:t xml:space="preserve"> </w:t>
      </w:r>
      <w:r w:rsidRPr="00E4449B">
        <w:t>cu</w:t>
      </w:r>
      <w:r w:rsidRPr="00E4449B">
        <w:rPr>
          <w:spacing w:val="-2"/>
        </w:rPr>
        <w:t>lt</w:t>
      </w:r>
      <w:r w:rsidRPr="00E4449B">
        <w:t>u</w:t>
      </w:r>
      <w:r w:rsidRPr="00E4449B">
        <w:rPr>
          <w:spacing w:val="-2"/>
        </w:rPr>
        <w:t>re</w:t>
      </w:r>
      <w:r w:rsidRPr="00E4449B">
        <w:t>s</w:t>
      </w:r>
      <w:r w:rsidRPr="00E4449B">
        <w:rPr>
          <w:spacing w:val="-10"/>
        </w:rPr>
        <w:t xml:space="preserve"> </w:t>
      </w:r>
      <w:r w:rsidRPr="00E4449B">
        <w:t>and</w:t>
      </w:r>
      <w:r w:rsidRPr="00E4449B">
        <w:rPr>
          <w:spacing w:val="-11"/>
        </w:rPr>
        <w:t xml:space="preserve"> </w:t>
      </w:r>
      <w:r w:rsidRPr="00E4449B">
        <w:t>cus</w:t>
      </w:r>
      <w:r w:rsidRPr="00E4449B">
        <w:rPr>
          <w:spacing w:val="-2"/>
        </w:rPr>
        <w:t>t</w:t>
      </w:r>
      <w:r w:rsidRPr="00E4449B">
        <w:t>oms.</w:t>
      </w:r>
    </w:p>
    <w:p w14:paraId="50D2C43B" w14:textId="384DC496" w:rsidR="00E86FF9" w:rsidRPr="00E4449B" w:rsidRDefault="00E86FF9" w:rsidP="00D83B53">
      <w:r w:rsidRPr="00E4449B">
        <w:t>Each</w:t>
      </w:r>
      <w:r w:rsidRPr="00E4449B">
        <w:rPr>
          <w:spacing w:val="-15"/>
        </w:rPr>
        <w:t xml:space="preserve"> </w:t>
      </w:r>
      <w:r w:rsidRPr="00E4449B">
        <w:rPr>
          <w:spacing w:val="-2"/>
        </w:rPr>
        <w:t>year</w:t>
      </w:r>
      <w:r w:rsidR="0017270E" w:rsidRPr="00E4449B">
        <w:rPr>
          <w:spacing w:val="-2"/>
        </w:rPr>
        <w:t>,</w:t>
      </w:r>
      <w:r w:rsidRPr="00E4449B">
        <w:rPr>
          <w:spacing w:val="-14"/>
        </w:rPr>
        <w:t xml:space="preserve"> </w:t>
      </w:r>
      <w:r w:rsidRPr="00E4449B">
        <w:t>the</w:t>
      </w:r>
      <w:r w:rsidRPr="00E4449B">
        <w:rPr>
          <w:spacing w:val="-14"/>
        </w:rPr>
        <w:t xml:space="preserve"> </w:t>
      </w:r>
      <w:r w:rsidRPr="00E4449B">
        <w:t>dep</w:t>
      </w:r>
      <w:r w:rsidRPr="00E4449B">
        <w:rPr>
          <w:spacing w:val="-2"/>
        </w:rPr>
        <w:t>artment</w:t>
      </w:r>
      <w:r w:rsidRPr="00E4449B">
        <w:rPr>
          <w:spacing w:val="-14"/>
        </w:rPr>
        <w:t xml:space="preserve"> </w:t>
      </w:r>
      <w:r w:rsidRPr="00E4449B">
        <w:t>deli</w:t>
      </w:r>
      <w:r w:rsidRPr="00E4449B">
        <w:rPr>
          <w:spacing w:val="-2"/>
        </w:rPr>
        <w:t>ver</w:t>
      </w:r>
      <w:r w:rsidRPr="00E4449B">
        <w:t>s</w:t>
      </w:r>
      <w:r w:rsidRPr="00E4449B">
        <w:rPr>
          <w:spacing w:val="-15"/>
        </w:rPr>
        <w:t xml:space="preserve"> </w:t>
      </w:r>
      <w:r w:rsidRPr="00E4449B">
        <w:t>a</w:t>
      </w:r>
      <w:r w:rsidRPr="00E4449B">
        <w:rPr>
          <w:spacing w:val="-14"/>
        </w:rPr>
        <w:t xml:space="preserve"> </w:t>
      </w:r>
      <w:proofErr w:type="spellStart"/>
      <w:r w:rsidRPr="00E4449B">
        <w:t>s</w:t>
      </w:r>
      <w:r w:rsidRPr="00E4449B">
        <w:rPr>
          <w:spacing w:val="-2"/>
        </w:rPr>
        <w:t>tatew</w:t>
      </w:r>
      <w:r w:rsidRPr="00E4449B">
        <w:t>id</w:t>
      </w:r>
      <w:r w:rsidRPr="00E4449B">
        <w:rPr>
          <w:spacing w:val="-2"/>
        </w:rPr>
        <w:t>e</w:t>
      </w:r>
      <w:proofErr w:type="spellEnd"/>
      <w:r w:rsidRPr="00E4449B">
        <w:rPr>
          <w:spacing w:val="-14"/>
        </w:rPr>
        <w:t xml:space="preserve"> </w:t>
      </w:r>
      <w:r w:rsidRPr="00E4449B">
        <w:rPr>
          <w:spacing w:val="-2"/>
        </w:rPr>
        <w:t>promotion</w:t>
      </w:r>
      <w:r w:rsidRPr="00E4449B">
        <w:t>al campaign</w:t>
      </w:r>
      <w:r w:rsidRPr="00E4449B">
        <w:rPr>
          <w:spacing w:val="-6"/>
        </w:rPr>
        <w:t xml:space="preserve"> </w:t>
      </w:r>
      <w:r w:rsidRPr="00E4449B">
        <w:rPr>
          <w:spacing w:val="-2"/>
        </w:rPr>
        <w:t>t</w:t>
      </w:r>
      <w:r w:rsidRPr="00E4449B">
        <w:t>o</w:t>
      </w:r>
      <w:r w:rsidRPr="00E4449B">
        <w:rPr>
          <w:spacing w:val="-6"/>
        </w:rPr>
        <w:t xml:space="preserve"> </w:t>
      </w:r>
      <w:r w:rsidRPr="00E4449B">
        <w:t>sup</w:t>
      </w:r>
      <w:r w:rsidRPr="00E4449B">
        <w:rPr>
          <w:spacing w:val="-2"/>
        </w:rPr>
        <w:t>port</w:t>
      </w:r>
      <w:r w:rsidRPr="00E4449B">
        <w:rPr>
          <w:spacing w:val="-7"/>
        </w:rPr>
        <w:t xml:space="preserve"> </w:t>
      </w:r>
      <w:r w:rsidRPr="00E4449B">
        <w:t>all</w:t>
      </w:r>
      <w:r w:rsidRPr="00E4449B">
        <w:rPr>
          <w:spacing w:val="-7"/>
        </w:rPr>
        <w:t xml:space="preserve"> </w:t>
      </w:r>
      <w:r w:rsidRPr="00E4449B">
        <w:rPr>
          <w:spacing w:val="-2"/>
        </w:rPr>
        <w:t>Queen</w:t>
      </w:r>
      <w:r w:rsidRPr="00E4449B">
        <w:t>sland</w:t>
      </w:r>
      <w:r w:rsidRPr="00E4449B">
        <w:rPr>
          <w:spacing w:val="-2"/>
        </w:rPr>
        <w:t>er</w:t>
      </w:r>
      <w:r w:rsidRPr="00E4449B">
        <w:t>s</w:t>
      </w:r>
      <w:r w:rsidRPr="00E4449B">
        <w:rPr>
          <w:spacing w:val="-8"/>
        </w:rPr>
        <w:t xml:space="preserve"> </w:t>
      </w:r>
      <w:r w:rsidRPr="00E4449B">
        <w:t>in</w:t>
      </w:r>
      <w:r w:rsidRPr="00E4449B">
        <w:rPr>
          <w:spacing w:val="-5"/>
        </w:rPr>
        <w:t xml:space="preserve"> </w:t>
      </w:r>
      <w:r w:rsidRPr="00E4449B">
        <w:t>cel</w:t>
      </w:r>
      <w:r w:rsidRPr="00E4449B">
        <w:rPr>
          <w:spacing w:val="-2"/>
        </w:rPr>
        <w:t>ebratin</w:t>
      </w:r>
      <w:r w:rsidRPr="00E4449B">
        <w:t>g</w:t>
      </w:r>
      <w:r w:rsidRPr="00E4449B">
        <w:rPr>
          <w:spacing w:val="41"/>
          <w:w w:val="105"/>
        </w:rPr>
        <w:t xml:space="preserve"> </w:t>
      </w:r>
      <w:r w:rsidRPr="00E4449B">
        <w:t>NAIDOC</w:t>
      </w:r>
      <w:r w:rsidRPr="00E4449B">
        <w:rPr>
          <w:spacing w:val="-27"/>
        </w:rPr>
        <w:t xml:space="preserve"> </w:t>
      </w:r>
      <w:r w:rsidRPr="00E4449B">
        <w:t>Week</w:t>
      </w:r>
      <w:r w:rsidRPr="00E4449B">
        <w:rPr>
          <w:spacing w:val="-26"/>
        </w:rPr>
        <w:t xml:space="preserve"> </w:t>
      </w:r>
      <w:r w:rsidRPr="00E4449B">
        <w:rPr>
          <w:spacing w:val="-2"/>
        </w:rPr>
        <w:t>within</w:t>
      </w:r>
      <w:r w:rsidRPr="00E4449B">
        <w:rPr>
          <w:spacing w:val="-23"/>
        </w:rPr>
        <w:t xml:space="preserve"> </w:t>
      </w:r>
      <w:r w:rsidRPr="00E4449B">
        <w:t>their</w:t>
      </w:r>
      <w:r w:rsidRPr="00E4449B">
        <w:rPr>
          <w:spacing w:val="-23"/>
        </w:rPr>
        <w:t xml:space="preserve"> </w:t>
      </w:r>
      <w:r w:rsidRPr="00E4449B">
        <w:t>c</w:t>
      </w:r>
      <w:r w:rsidRPr="00E4449B">
        <w:rPr>
          <w:spacing w:val="-2"/>
        </w:rPr>
        <w:t>ommunitie</w:t>
      </w:r>
      <w:r w:rsidRPr="00E4449B">
        <w:t>s,</w:t>
      </w:r>
      <w:r w:rsidRPr="00E4449B">
        <w:rPr>
          <w:spacing w:val="-23"/>
        </w:rPr>
        <w:t xml:space="preserve"> </w:t>
      </w:r>
      <w:r w:rsidRPr="00E4449B">
        <w:t>including</w:t>
      </w:r>
      <w:r w:rsidRPr="00E4449B">
        <w:rPr>
          <w:spacing w:val="-23"/>
        </w:rPr>
        <w:t xml:space="preserve"> </w:t>
      </w:r>
      <w:r w:rsidRPr="00E4449B">
        <w:t>c</w:t>
      </w:r>
      <w:r w:rsidRPr="00E4449B">
        <w:rPr>
          <w:spacing w:val="-2"/>
        </w:rPr>
        <w:t>ommunity f</w:t>
      </w:r>
      <w:r w:rsidRPr="00E4449B">
        <w:t>unding</w:t>
      </w:r>
      <w:r w:rsidRPr="00E4449B">
        <w:rPr>
          <w:spacing w:val="-12"/>
        </w:rPr>
        <w:t xml:space="preserve"> </w:t>
      </w:r>
      <w:r w:rsidRPr="00E4449B">
        <w:t>and</w:t>
      </w:r>
      <w:r w:rsidRPr="00E4449B">
        <w:rPr>
          <w:spacing w:val="-13"/>
        </w:rPr>
        <w:t xml:space="preserve"> </w:t>
      </w:r>
      <w:r w:rsidRPr="00E4449B">
        <w:t>sup</w:t>
      </w:r>
      <w:r w:rsidRPr="00E4449B">
        <w:rPr>
          <w:spacing w:val="-2"/>
        </w:rPr>
        <w:t>port</w:t>
      </w:r>
      <w:r w:rsidRPr="00E4449B">
        <w:rPr>
          <w:spacing w:val="-13"/>
        </w:rPr>
        <w:t xml:space="preserve"> </w:t>
      </w:r>
      <w:r w:rsidRPr="00E4449B">
        <w:rPr>
          <w:spacing w:val="-2"/>
        </w:rPr>
        <w:t>for</w:t>
      </w:r>
      <w:r w:rsidRPr="00E4449B">
        <w:rPr>
          <w:spacing w:val="-12"/>
        </w:rPr>
        <w:t xml:space="preserve"> </w:t>
      </w:r>
      <w:r w:rsidRPr="00E4449B">
        <w:t>local</w:t>
      </w:r>
      <w:r w:rsidRPr="00E4449B">
        <w:rPr>
          <w:spacing w:val="-13"/>
        </w:rPr>
        <w:t xml:space="preserve"> </w:t>
      </w:r>
      <w:r w:rsidRPr="00E4449B">
        <w:t>events,</w:t>
      </w:r>
      <w:r w:rsidRPr="00E4449B">
        <w:rPr>
          <w:spacing w:val="-11"/>
        </w:rPr>
        <w:t xml:space="preserve"> </w:t>
      </w:r>
      <w:r w:rsidRPr="00E4449B">
        <w:rPr>
          <w:spacing w:val="-2"/>
        </w:rPr>
        <w:t>promotion</w:t>
      </w:r>
      <w:r w:rsidRPr="00E4449B">
        <w:t>al</w:t>
      </w:r>
      <w:r w:rsidRPr="00E4449B">
        <w:rPr>
          <w:spacing w:val="-14"/>
        </w:rPr>
        <w:t xml:space="preserve"> </w:t>
      </w:r>
      <w:r w:rsidRPr="00E4449B">
        <w:rPr>
          <w:spacing w:val="-2"/>
        </w:rPr>
        <w:t>materi</w:t>
      </w:r>
      <w:r w:rsidRPr="00E4449B">
        <w:t>als, sponsorship and</w:t>
      </w:r>
      <w:r w:rsidRPr="00E4449B">
        <w:rPr>
          <w:spacing w:val="-2"/>
        </w:rPr>
        <w:t xml:space="preserve"> </w:t>
      </w:r>
      <w:r w:rsidRPr="00E4449B">
        <w:t>special</w:t>
      </w:r>
      <w:r w:rsidRPr="00E4449B">
        <w:rPr>
          <w:spacing w:val="-2"/>
        </w:rPr>
        <w:t xml:space="preserve"> </w:t>
      </w:r>
      <w:r w:rsidRPr="00E4449B">
        <w:t>events.</w:t>
      </w:r>
    </w:p>
    <w:p w14:paraId="40BEDFBA" w14:textId="457A843B" w:rsidR="00E86FF9" w:rsidRPr="00E4449B" w:rsidRDefault="00E86FF9" w:rsidP="00D83B53">
      <w:r w:rsidRPr="00E4449B">
        <w:t>The</w:t>
      </w:r>
      <w:r w:rsidRPr="00E4449B">
        <w:rPr>
          <w:spacing w:val="-13"/>
        </w:rPr>
        <w:t xml:space="preserve"> </w:t>
      </w:r>
      <w:r w:rsidRPr="00E4449B">
        <w:t>Cel</w:t>
      </w:r>
      <w:r w:rsidRPr="00E4449B">
        <w:rPr>
          <w:spacing w:val="-2"/>
        </w:rPr>
        <w:t>ebratin</w:t>
      </w:r>
      <w:r w:rsidRPr="00E4449B">
        <w:t>g</w:t>
      </w:r>
      <w:r w:rsidRPr="00E4449B">
        <w:rPr>
          <w:spacing w:val="-12"/>
        </w:rPr>
        <w:t xml:space="preserve"> </w:t>
      </w:r>
      <w:r w:rsidRPr="00E4449B">
        <w:t>Reconcili</w:t>
      </w:r>
      <w:r w:rsidRPr="00E4449B">
        <w:rPr>
          <w:spacing w:val="-2"/>
        </w:rPr>
        <w:t>ation</w:t>
      </w:r>
      <w:r w:rsidRPr="00E4449B">
        <w:rPr>
          <w:spacing w:val="-15"/>
        </w:rPr>
        <w:t xml:space="preserve"> </w:t>
      </w:r>
      <w:r w:rsidRPr="00E4449B">
        <w:t>Small</w:t>
      </w:r>
      <w:r w:rsidRPr="00E4449B">
        <w:rPr>
          <w:spacing w:val="-13"/>
        </w:rPr>
        <w:t xml:space="preserve"> </w:t>
      </w:r>
      <w:r w:rsidRPr="00E4449B">
        <w:rPr>
          <w:spacing w:val="-2"/>
        </w:rPr>
        <w:t>Gr</w:t>
      </w:r>
      <w:r w:rsidRPr="00E4449B">
        <w:t>ants</w:t>
      </w:r>
      <w:r w:rsidRPr="00E4449B">
        <w:rPr>
          <w:spacing w:val="-14"/>
        </w:rPr>
        <w:t xml:space="preserve"> </w:t>
      </w:r>
      <w:r w:rsidRPr="00E4449B">
        <w:rPr>
          <w:spacing w:val="-2"/>
        </w:rPr>
        <w:t>progr</w:t>
      </w:r>
      <w:r w:rsidRPr="00E4449B">
        <w:t>am encourages all Queenslanders to participate in National Reconciliation Week and to commemorate two significant milestones in our national history: the anniversary of the 1967 Referendum and the 1992 High Court Mabo decision</w:t>
      </w:r>
      <w:r w:rsidRPr="00E4449B">
        <w:rPr>
          <w:spacing w:val="-2"/>
        </w:rPr>
        <w:t>.</w:t>
      </w:r>
    </w:p>
    <w:p w14:paraId="7599C9AB" w14:textId="77777777" w:rsidR="00E86FF9" w:rsidRPr="00D83B53" w:rsidRDefault="00E86FF9" w:rsidP="00D21656">
      <w:pPr>
        <w:pStyle w:val="Heading4"/>
      </w:pPr>
      <w:r w:rsidRPr="00D83B53">
        <w:t>Key achievements</w:t>
      </w:r>
    </w:p>
    <w:p w14:paraId="27DAA2ED" w14:textId="2566328E" w:rsidR="00E86FF9" w:rsidRPr="00E4449B" w:rsidRDefault="0017270E" w:rsidP="00E86FF9">
      <w:r w:rsidRPr="00E4449B">
        <w:t>During the reporting period, t</w:t>
      </w:r>
      <w:r w:rsidR="00E86FF9" w:rsidRPr="00E4449B">
        <w:t>he</w:t>
      </w:r>
      <w:r w:rsidR="00E86FF9" w:rsidRPr="00E4449B">
        <w:rPr>
          <w:spacing w:val="-14"/>
        </w:rPr>
        <w:t xml:space="preserve"> </w:t>
      </w:r>
      <w:r w:rsidR="00E86FF9" w:rsidRPr="00E4449B">
        <w:rPr>
          <w:spacing w:val="-1"/>
        </w:rPr>
        <w:t>dep</w:t>
      </w:r>
      <w:r w:rsidR="00E86FF9" w:rsidRPr="00E4449B">
        <w:rPr>
          <w:spacing w:val="-2"/>
        </w:rPr>
        <w:t>artment:</w:t>
      </w:r>
    </w:p>
    <w:p w14:paraId="05D7FA42" w14:textId="0568C393" w:rsidR="00CB1AA1" w:rsidRPr="00E4449B" w:rsidRDefault="0017270E" w:rsidP="000316DA">
      <w:pPr>
        <w:pStyle w:val="ListParagraph"/>
        <w:numPr>
          <w:ilvl w:val="0"/>
          <w:numId w:val="8"/>
        </w:numPr>
        <w:rPr>
          <w:spacing w:val="-1"/>
        </w:rPr>
      </w:pPr>
      <w:r w:rsidRPr="00E4449B">
        <w:rPr>
          <w:spacing w:val="-1"/>
        </w:rPr>
        <w:t xml:space="preserve">disbursed </w:t>
      </w:r>
      <w:r w:rsidR="00016A5E" w:rsidRPr="00E4449B">
        <w:rPr>
          <w:spacing w:val="-1"/>
        </w:rPr>
        <w:t>approximately $200,000 of funding to 41 grants recipients from the 2020 Celebrating Reconciliation Small Grants Program to hold events during 2021 National Reconciliation Week. The events were postponed from 2020 due COVID-19</w:t>
      </w:r>
      <w:r w:rsidR="003D516F">
        <w:rPr>
          <w:spacing w:val="-1"/>
        </w:rPr>
        <w:t xml:space="preserve"> restrictions</w:t>
      </w:r>
      <w:r w:rsidR="00016A5E" w:rsidRPr="00E4449B">
        <w:rPr>
          <w:spacing w:val="-1"/>
        </w:rPr>
        <w:t>.</w:t>
      </w:r>
    </w:p>
    <w:p w14:paraId="2DCDFC2A" w14:textId="6DEC191B" w:rsidR="00E86FF9" w:rsidRPr="00E4449B" w:rsidRDefault="00E86FF9" w:rsidP="007524AB">
      <w:pPr>
        <w:pStyle w:val="Heading3"/>
      </w:pPr>
      <w:bookmarkStart w:id="54" w:name="_Toc67046722"/>
      <w:bookmarkStart w:id="55" w:name="_Toc78287376"/>
      <w:bookmarkStart w:id="56" w:name="_Toc78355783"/>
      <w:r w:rsidRPr="00E4449B">
        <w:t>Ministerial and Government Champions program</w:t>
      </w:r>
      <w:bookmarkEnd w:id="54"/>
      <w:bookmarkEnd w:id="55"/>
      <w:bookmarkEnd w:id="56"/>
    </w:p>
    <w:p w14:paraId="6935F184" w14:textId="77777777" w:rsidR="00ED2F79" w:rsidRDefault="00E86FF9" w:rsidP="00D83B53">
      <w:r w:rsidRPr="00E4449B">
        <w:t>The department administers the Ministerial and Government Champions program (the Champions Program), which provides an opportunity for Queensland Government Ministers, and Chief Executives of Queensland Government agencies</w:t>
      </w:r>
      <w:r w:rsidR="0017270E" w:rsidRPr="00E4449B">
        <w:t>,</w:t>
      </w:r>
      <w:r w:rsidRPr="00E4449B">
        <w:t xml:space="preserve"> to work collaboratively with remote and discrete Aboriginal and Torres Strait Islander communities. Champions work closely with mayors, community leaders, government agencies and key service providers from their partner communit</w:t>
      </w:r>
      <w:r w:rsidR="0017270E" w:rsidRPr="00E4449B">
        <w:t>ies</w:t>
      </w:r>
      <w:r w:rsidRPr="00E4449B">
        <w:t xml:space="preserve"> to engage more effectively on the opportunities and challenges facing Aboriginal </w:t>
      </w:r>
      <w:r w:rsidR="0017270E" w:rsidRPr="00E4449B">
        <w:t xml:space="preserve">peoples </w:t>
      </w:r>
      <w:r w:rsidRPr="00E4449B">
        <w:t xml:space="preserve">and Torres Strait Islander </w:t>
      </w:r>
      <w:r w:rsidR="0017270E" w:rsidRPr="00E4449B">
        <w:t>peoples</w:t>
      </w:r>
      <w:r w:rsidRPr="00E4449B">
        <w:t xml:space="preserve">. The program also builds cultural capability in government through the relationship between Ministers, Chief Executives, </w:t>
      </w:r>
      <w:r w:rsidR="0017270E" w:rsidRPr="00E4449B">
        <w:t xml:space="preserve">government </w:t>
      </w:r>
      <w:r w:rsidRPr="00E4449B">
        <w:t>agencies and communities.</w:t>
      </w:r>
      <w:r w:rsidR="00AC767D" w:rsidRPr="00E4449B">
        <w:t xml:space="preserve"> </w:t>
      </w:r>
    </w:p>
    <w:p w14:paraId="524F95F9" w14:textId="5EC71071" w:rsidR="00E86FF9" w:rsidRPr="00E4449B" w:rsidRDefault="00AC767D" w:rsidP="00D83B53">
      <w:r w:rsidRPr="00E4449B">
        <w:t>Through the program, Ministers and Chief Executives are provided the opportunity to learn about the experiences of Aboriginal and Torres Strait Islander peoples and communities and the impacts of government decisions. There is also the opportunity to engage in a high expectations relationship and mutual accountability to improve social and economic outcomes for Aboriginal</w:t>
      </w:r>
      <w:r w:rsidR="00A016CB">
        <w:t xml:space="preserve"> peoples</w:t>
      </w:r>
      <w:r w:rsidRPr="00E4449B">
        <w:t xml:space="preserve"> and Torres Strait Islander peoples.</w:t>
      </w:r>
    </w:p>
    <w:p w14:paraId="52395812" w14:textId="453E420F" w:rsidR="00E86FF9" w:rsidRPr="00E4449B" w:rsidRDefault="00E86FF9" w:rsidP="00D83B53">
      <w:r w:rsidRPr="00E4449B">
        <w:t xml:space="preserve">The Champions </w:t>
      </w:r>
      <w:r w:rsidR="00264AD0">
        <w:t>P</w:t>
      </w:r>
      <w:r w:rsidRPr="00E4449B">
        <w:t xml:space="preserve">rogram is a key element to reframing the relationship between Aboriginal and Torres Strait Islander remote and </w:t>
      </w:r>
      <w:r w:rsidR="00B44F20" w:rsidRPr="00E4449B">
        <w:t>discrete</w:t>
      </w:r>
      <w:r w:rsidRPr="00E4449B">
        <w:t xml:space="preserve"> communities and the Queensland Government. Through strong, open partnerships with councils, service providers, individuals and families, Champions facilitate access to government networks to overcome barriers and address priority concerns more effectively. The Champions Program enables communities to cut through administrative complexity and layers, to deliver results. This includes implementing the change required to close the gap in Aboriginal and Torres Strait Islander outcomes.</w:t>
      </w:r>
    </w:p>
    <w:p w14:paraId="7CF48E31" w14:textId="75CDCD94" w:rsidR="00E86FF9" w:rsidRPr="00D83B53" w:rsidRDefault="00E43202" w:rsidP="00D21656">
      <w:pPr>
        <w:pStyle w:val="Heading4"/>
      </w:pPr>
      <w:r>
        <w:br w:type="column"/>
      </w:r>
      <w:r w:rsidR="00E86FF9" w:rsidRPr="00D83B53">
        <w:lastRenderedPageBreak/>
        <w:t>Key achievements</w:t>
      </w:r>
    </w:p>
    <w:p w14:paraId="19EA1253" w14:textId="77777777" w:rsidR="00326C8A" w:rsidRPr="00E4449B" w:rsidRDefault="00326C8A" w:rsidP="00D83B53">
      <w:pPr>
        <w:rPr>
          <w:rFonts w:eastAsia="Calibri"/>
          <w:lang w:val="en-US" w:eastAsia="en-US"/>
        </w:rPr>
      </w:pPr>
      <w:r w:rsidRPr="00E4449B">
        <w:rPr>
          <w:rFonts w:eastAsia="Calibri"/>
          <w:lang w:val="en-US" w:eastAsia="en-US"/>
        </w:rPr>
        <w:t>During the reporting period, the</w:t>
      </w:r>
      <w:r w:rsidRPr="00E4449B">
        <w:rPr>
          <w:rFonts w:eastAsia="Calibri"/>
          <w:spacing w:val="-14"/>
          <w:lang w:val="en-US" w:eastAsia="en-US"/>
        </w:rPr>
        <w:t xml:space="preserve"> </w:t>
      </w:r>
      <w:r w:rsidRPr="00E4449B">
        <w:rPr>
          <w:rFonts w:eastAsia="Calibri"/>
          <w:spacing w:val="-1"/>
          <w:lang w:val="en-US" w:eastAsia="en-US"/>
        </w:rPr>
        <w:t>dep</w:t>
      </w:r>
      <w:r w:rsidRPr="00E4449B">
        <w:rPr>
          <w:rFonts w:eastAsia="Calibri"/>
          <w:spacing w:val="-2"/>
          <w:lang w:val="en-US" w:eastAsia="en-US"/>
        </w:rPr>
        <w:t>artment:</w:t>
      </w:r>
    </w:p>
    <w:p w14:paraId="39464F29" w14:textId="0A3A43AF" w:rsidR="002C3425" w:rsidRPr="00D83B53" w:rsidRDefault="002C3425" w:rsidP="00D83B53">
      <w:pPr>
        <w:pStyle w:val="ListBullet"/>
      </w:pPr>
      <w:r w:rsidRPr="00D83B53">
        <w:t>amended the Ministerial and Government Champions Terms of Reference to strengthen the alignment with the LTC reform</w:t>
      </w:r>
      <w:r w:rsidR="00264AD0">
        <w:t>,</w:t>
      </w:r>
      <w:r w:rsidRPr="00D83B53">
        <w:t xml:space="preserve"> improve information sharing and reporting</w:t>
      </w:r>
      <w:r w:rsidR="00264AD0">
        <w:t>,</w:t>
      </w:r>
      <w:r w:rsidRPr="00D83B53">
        <w:t xml:space="preserve"> build positive relationships with community leaders and other stakeholders</w:t>
      </w:r>
      <w:r w:rsidR="00264AD0">
        <w:t>,</w:t>
      </w:r>
      <w:r w:rsidRPr="00D83B53">
        <w:t xml:space="preserve"> and support LTC implementation</w:t>
      </w:r>
    </w:p>
    <w:p w14:paraId="2C70805D" w14:textId="3132913B" w:rsidR="00E86FF9" w:rsidRPr="00D83B53" w:rsidRDefault="00326C8A" w:rsidP="00D83B53">
      <w:pPr>
        <w:pStyle w:val="ListBullet"/>
      </w:pPr>
      <w:r w:rsidRPr="00D83B53">
        <w:t>d</w:t>
      </w:r>
      <w:r w:rsidR="002C3425" w:rsidRPr="00D83B53">
        <w:t>eveloped an induction pack for Ministerial and Government Champions and support officers.</w:t>
      </w:r>
      <w:bookmarkStart w:id="57" w:name="_Toc67046723"/>
    </w:p>
    <w:p w14:paraId="266283EE" w14:textId="77777777" w:rsidR="00E86FF9" w:rsidRPr="00E4449B" w:rsidRDefault="00E86FF9" w:rsidP="007524AB">
      <w:pPr>
        <w:pStyle w:val="Heading3"/>
      </w:pPr>
      <w:bookmarkStart w:id="58" w:name="_Toc78287377"/>
      <w:bookmarkStart w:id="59" w:name="_Toc78355784"/>
      <w:r w:rsidRPr="00E4449B">
        <w:t>Cultural Capability Framework</w:t>
      </w:r>
      <w:bookmarkEnd w:id="57"/>
      <w:bookmarkEnd w:id="58"/>
      <w:bookmarkEnd w:id="59"/>
    </w:p>
    <w:p w14:paraId="2C6C081F" w14:textId="748CB6E7" w:rsidR="00E86FF9" w:rsidRPr="00E4449B" w:rsidRDefault="00E86FF9" w:rsidP="00D83B53">
      <w:pPr>
        <w:rPr>
          <w:rFonts w:eastAsia="Calibri"/>
          <w:lang w:val="en-US" w:eastAsia="en-US"/>
        </w:rPr>
      </w:pPr>
      <w:r w:rsidRPr="00E4449B">
        <w:rPr>
          <w:rFonts w:eastAsia="Calibri"/>
          <w:lang w:val="en-US" w:eastAsia="en-US"/>
        </w:rPr>
        <w:t xml:space="preserve">The </w:t>
      </w:r>
      <w:r w:rsidRPr="00E4449B">
        <w:rPr>
          <w:rFonts w:eastAsia="Calibri"/>
          <w:i/>
          <w:lang w:val="en-US" w:eastAsia="en-US"/>
        </w:rPr>
        <w:t>Aboriginal and Torres Strait Islander Cultural Capability Framework</w:t>
      </w:r>
      <w:r w:rsidRPr="00E4449B">
        <w:rPr>
          <w:rFonts w:eastAsia="Calibri"/>
          <w:lang w:val="en-US" w:eastAsia="en-US"/>
        </w:rPr>
        <w:t xml:space="preserve"> </w:t>
      </w:r>
      <w:r w:rsidR="00264AD0">
        <w:rPr>
          <w:rFonts w:eastAsia="Calibri"/>
          <w:lang w:val="en-US" w:eastAsia="en-US"/>
        </w:rPr>
        <w:t xml:space="preserve">(the Framework) </w:t>
      </w:r>
      <w:r w:rsidRPr="00E4449B">
        <w:rPr>
          <w:rFonts w:eastAsia="Calibri"/>
          <w:lang w:val="en-US" w:eastAsia="en-US"/>
        </w:rPr>
        <w:t>is the foundation</w:t>
      </w:r>
      <w:r w:rsidRPr="00E4449B">
        <w:rPr>
          <w:rFonts w:eastAsia="Calibri"/>
          <w:spacing w:val="-16"/>
          <w:lang w:val="en-US" w:eastAsia="en-US"/>
        </w:rPr>
        <w:t xml:space="preserve"> </w:t>
      </w:r>
      <w:r w:rsidRPr="00E4449B">
        <w:rPr>
          <w:rFonts w:eastAsia="Calibri"/>
          <w:spacing w:val="-1"/>
          <w:lang w:val="en-US" w:eastAsia="en-US"/>
        </w:rPr>
        <w:t>docu</w:t>
      </w:r>
      <w:r w:rsidRPr="00E4449B">
        <w:rPr>
          <w:rFonts w:eastAsia="Calibri"/>
          <w:lang w:val="en-US" w:eastAsia="en-US"/>
        </w:rPr>
        <w:t>ment</w:t>
      </w:r>
      <w:r w:rsidRPr="00E4449B">
        <w:rPr>
          <w:rFonts w:eastAsia="Calibri"/>
          <w:spacing w:val="-18"/>
          <w:lang w:val="en-US" w:eastAsia="en-US"/>
        </w:rPr>
        <w:t xml:space="preserve"> </w:t>
      </w:r>
      <w:r w:rsidRPr="00E4449B">
        <w:rPr>
          <w:rFonts w:eastAsia="Calibri"/>
          <w:lang w:val="en-US" w:eastAsia="en-US"/>
        </w:rPr>
        <w:t>that</w:t>
      </w:r>
      <w:r w:rsidRPr="00E4449B">
        <w:rPr>
          <w:rFonts w:eastAsia="Calibri"/>
          <w:spacing w:val="-18"/>
          <w:lang w:val="en-US" w:eastAsia="en-US"/>
        </w:rPr>
        <w:t xml:space="preserve"> </w:t>
      </w:r>
      <w:r w:rsidRPr="00E4449B">
        <w:rPr>
          <w:rFonts w:eastAsia="Calibri"/>
          <w:spacing w:val="-1"/>
          <w:lang w:val="en-US" w:eastAsia="en-US"/>
        </w:rPr>
        <w:t>und</w:t>
      </w:r>
      <w:r w:rsidRPr="00E4449B">
        <w:rPr>
          <w:rFonts w:eastAsia="Calibri"/>
          <w:lang w:val="en-US" w:eastAsia="en-US"/>
        </w:rPr>
        <w:t>erp</w:t>
      </w:r>
      <w:r w:rsidRPr="00E4449B">
        <w:rPr>
          <w:rFonts w:eastAsia="Calibri"/>
          <w:spacing w:val="-1"/>
          <w:lang w:val="en-US" w:eastAsia="en-US"/>
        </w:rPr>
        <w:t>ins all</w:t>
      </w:r>
      <w:r w:rsidRPr="00E4449B">
        <w:rPr>
          <w:rFonts w:eastAsia="Calibri"/>
          <w:spacing w:val="-9"/>
          <w:lang w:val="en-US" w:eastAsia="en-US"/>
        </w:rPr>
        <w:t xml:space="preserve"> </w:t>
      </w:r>
      <w:r w:rsidRPr="00E4449B">
        <w:rPr>
          <w:rFonts w:eastAsia="Calibri"/>
          <w:lang w:val="en-US" w:eastAsia="en-US"/>
        </w:rPr>
        <w:t>Queen</w:t>
      </w:r>
      <w:r w:rsidRPr="00E4449B">
        <w:rPr>
          <w:rFonts w:eastAsia="Calibri"/>
          <w:spacing w:val="-1"/>
          <w:lang w:val="en-US" w:eastAsia="en-US"/>
        </w:rPr>
        <w:t>sland</w:t>
      </w:r>
      <w:r w:rsidRPr="00E4449B">
        <w:rPr>
          <w:rFonts w:eastAsia="Calibri"/>
          <w:spacing w:val="-9"/>
          <w:lang w:val="en-US" w:eastAsia="en-US"/>
        </w:rPr>
        <w:t xml:space="preserve"> </w:t>
      </w:r>
      <w:r w:rsidRPr="00E4449B">
        <w:rPr>
          <w:rFonts w:eastAsia="Calibri"/>
          <w:lang w:val="en-US" w:eastAsia="en-US"/>
        </w:rPr>
        <w:t>Government</w:t>
      </w:r>
      <w:r w:rsidRPr="00E4449B">
        <w:rPr>
          <w:rFonts w:eastAsia="Calibri"/>
          <w:spacing w:val="-9"/>
          <w:lang w:val="en-US" w:eastAsia="en-US"/>
        </w:rPr>
        <w:t xml:space="preserve"> </w:t>
      </w:r>
      <w:r w:rsidRPr="00E4449B">
        <w:rPr>
          <w:rFonts w:eastAsia="Calibri"/>
          <w:spacing w:val="-1"/>
          <w:lang w:val="en-US" w:eastAsia="en-US"/>
        </w:rPr>
        <w:t>actions</w:t>
      </w:r>
      <w:r w:rsidRPr="00E4449B">
        <w:rPr>
          <w:rFonts w:eastAsia="Calibri"/>
          <w:spacing w:val="-9"/>
          <w:lang w:val="en-US" w:eastAsia="en-US"/>
        </w:rPr>
        <w:t xml:space="preserve"> </w:t>
      </w:r>
      <w:r w:rsidRPr="00E4449B">
        <w:rPr>
          <w:rFonts w:eastAsia="Calibri"/>
          <w:lang w:val="en-US" w:eastAsia="en-US"/>
        </w:rPr>
        <w:t>and</w:t>
      </w:r>
      <w:r w:rsidRPr="00E4449B">
        <w:rPr>
          <w:rFonts w:eastAsia="Calibri"/>
          <w:spacing w:val="-8"/>
          <w:lang w:val="en-US" w:eastAsia="en-US"/>
        </w:rPr>
        <w:t xml:space="preserve"> </w:t>
      </w:r>
      <w:r w:rsidRPr="00E4449B">
        <w:rPr>
          <w:rFonts w:eastAsia="Calibri"/>
          <w:spacing w:val="-1"/>
          <w:lang w:val="en-US" w:eastAsia="en-US"/>
        </w:rPr>
        <w:t>seeks</w:t>
      </w:r>
      <w:r w:rsidRPr="00E4449B">
        <w:rPr>
          <w:rFonts w:eastAsia="Calibri"/>
          <w:spacing w:val="-9"/>
          <w:lang w:val="en-US" w:eastAsia="en-US"/>
        </w:rPr>
        <w:t xml:space="preserve"> </w:t>
      </w:r>
      <w:r w:rsidRPr="00E4449B">
        <w:rPr>
          <w:rFonts w:eastAsia="Calibri"/>
          <w:lang w:val="en-US" w:eastAsia="en-US"/>
        </w:rPr>
        <w:t>t</w:t>
      </w:r>
      <w:r w:rsidRPr="00E4449B">
        <w:rPr>
          <w:rFonts w:eastAsia="Calibri"/>
          <w:spacing w:val="-1"/>
          <w:lang w:val="en-US" w:eastAsia="en-US"/>
        </w:rPr>
        <w:t>o</w:t>
      </w:r>
      <w:r w:rsidRPr="00E4449B">
        <w:rPr>
          <w:rFonts w:eastAsia="Calibri"/>
          <w:spacing w:val="-7"/>
          <w:lang w:val="en-US" w:eastAsia="en-US"/>
        </w:rPr>
        <w:t xml:space="preserve"> </w:t>
      </w:r>
      <w:r w:rsidRPr="00E4449B">
        <w:rPr>
          <w:rFonts w:eastAsia="Calibri"/>
          <w:lang w:val="en-US" w:eastAsia="en-US"/>
        </w:rPr>
        <w:t>en</w:t>
      </w:r>
      <w:r w:rsidRPr="00E4449B">
        <w:rPr>
          <w:rFonts w:eastAsia="Calibri"/>
          <w:spacing w:val="-1"/>
          <w:lang w:val="en-US" w:eastAsia="en-US"/>
        </w:rPr>
        <w:t>su</w:t>
      </w:r>
      <w:r w:rsidRPr="00E4449B">
        <w:rPr>
          <w:rFonts w:eastAsia="Calibri"/>
          <w:lang w:val="en-US" w:eastAsia="en-US"/>
        </w:rPr>
        <w:t>re A</w:t>
      </w:r>
      <w:r w:rsidRPr="00E4449B">
        <w:rPr>
          <w:rFonts w:eastAsia="Calibri"/>
          <w:spacing w:val="-1"/>
          <w:lang w:val="en-US" w:eastAsia="en-US"/>
        </w:rPr>
        <w:t>boriginal</w:t>
      </w:r>
      <w:r w:rsidRPr="00E4449B">
        <w:rPr>
          <w:rFonts w:eastAsia="Calibri"/>
          <w:spacing w:val="-13"/>
          <w:lang w:val="en-US" w:eastAsia="en-US"/>
        </w:rPr>
        <w:t xml:space="preserve"> </w:t>
      </w:r>
      <w:r w:rsidRPr="00E4449B">
        <w:rPr>
          <w:rFonts w:eastAsia="Calibri"/>
          <w:lang w:val="en-US" w:eastAsia="en-US"/>
        </w:rPr>
        <w:t>and</w:t>
      </w:r>
      <w:r w:rsidRPr="00E4449B">
        <w:rPr>
          <w:rFonts w:eastAsia="Calibri"/>
          <w:spacing w:val="-16"/>
          <w:lang w:val="en-US" w:eastAsia="en-US"/>
        </w:rPr>
        <w:t xml:space="preserve"> </w:t>
      </w:r>
      <w:r w:rsidRPr="00E4449B">
        <w:rPr>
          <w:rFonts w:eastAsia="Calibri"/>
          <w:spacing w:val="-3"/>
          <w:lang w:val="en-US" w:eastAsia="en-US"/>
        </w:rPr>
        <w:t>Torre</w:t>
      </w:r>
      <w:r w:rsidRPr="00E4449B">
        <w:rPr>
          <w:rFonts w:eastAsia="Calibri"/>
          <w:lang w:val="en-US" w:eastAsia="en-US"/>
        </w:rPr>
        <w:t>s</w:t>
      </w:r>
      <w:r w:rsidRPr="00E4449B">
        <w:rPr>
          <w:rFonts w:eastAsia="Calibri"/>
          <w:spacing w:val="-16"/>
          <w:lang w:val="en-US" w:eastAsia="en-US"/>
        </w:rPr>
        <w:t xml:space="preserve"> </w:t>
      </w:r>
      <w:r w:rsidRPr="00E4449B">
        <w:rPr>
          <w:rFonts w:eastAsia="Calibri"/>
          <w:spacing w:val="-1"/>
          <w:lang w:val="en-US" w:eastAsia="en-US"/>
        </w:rPr>
        <w:t>St</w:t>
      </w:r>
      <w:r w:rsidRPr="00E4449B">
        <w:rPr>
          <w:rFonts w:eastAsia="Calibri"/>
          <w:lang w:val="en-US" w:eastAsia="en-US"/>
        </w:rPr>
        <w:t>rait</w:t>
      </w:r>
      <w:r w:rsidRPr="00E4449B">
        <w:rPr>
          <w:rFonts w:eastAsia="Calibri"/>
          <w:spacing w:val="-13"/>
          <w:lang w:val="en-US" w:eastAsia="en-US"/>
        </w:rPr>
        <w:t xml:space="preserve"> </w:t>
      </w:r>
      <w:r w:rsidRPr="00E4449B">
        <w:rPr>
          <w:rFonts w:eastAsia="Calibri"/>
          <w:spacing w:val="-1"/>
          <w:lang w:val="en-US" w:eastAsia="en-US"/>
        </w:rPr>
        <w:t>Island</w:t>
      </w:r>
      <w:r w:rsidRPr="00E4449B">
        <w:rPr>
          <w:rFonts w:eastAsia="Calibri"/>
          <w:lang w:val="en-US" w:eastAsia="en-US"/>
        </w:rPr>
        <w:t>er</w:t>
      </w:r>
      <w:r w:rsidRPr="00E4449B">
        <w:rPr>
          <w:rFonts w:eastAsia="Calibri"/>
          <w:spacing w:val="-11"/>
          <w:lang w:val="en-US" w:eastAsia="en-US"/>
        </w:rPr>
        <w:t xml:space="preserve"> </w:t>
      </w:r>
      <w:r w:rsidRPr="00E4449B">
        <w:rPr>
          <w:rFonts w:eastAsia="Calibri"/>
          <w:lang w:val="en-US" w:eastAsia="en-US"/>
        </w:rPr>
        <w:t>Queenslanders enjoy the same</w:t>
      </w:r>
      <w:r w:rsidRPr="00E4449B">
        <w:rPr>
          <w:rFonts w:eastAsia="Calibri"/>
          <w:spacing w:val="-5"/>
          <w:lang w:val="en-US" w:eastAsia="en-US"/>
        </w:rPr>
        <w:t xml:space="preserve"> </w:t>
      </w:r>
      <w:r w:rsidRPr="00E4449B">
        <w:rPr>
          <w:rFonts w:eastAsia="Calibri"/>
          <w:spacing w:val="-1"/>
          <w:lang w:val="en-US" w:eastAsia="en-US"/>
        </w:rPr>
        <w:t>economic</w:t>
      </w:r>
      <w:r w:rsidRPr="00E4449B">
        <w:rPr>
          <w:rFonts w:eastAsia="Calibri"/>
          <w:lang w:val="en-US" w:eastAsia="en-US"/>
        </w:rPr>
        <w:t>,</w:t>
      </w:r>
      <w:r w:rsidRPr="00E4449B">
        <w:rPr>
          <w:rFonts w:eastAsia="Calibri"/>
          <w:spacing w:val="-4"/>
          <w:lang w:val="en-US" w:eastAsia="en-US"/>
        </w:rPr>
        <w:t xml:space="preserve"> </w:t>
      </w:r>
      <w:r w:rsidRPr="00E4449B">
        <w:rPr>
          <w:rFonts w:eastAsia="Calibri"/>
          <w:spacing w:val="-1"/>
          <w:lang w:val="en-US" w:eastAsia="en-US"/>
        </w:rPr>
        <w:t>educ</w:t>
      </w:r>
      <w:r w:rsidRPr="00E4449B">
        <w:rPr>
          <w:rFonts w:eastAsia="Calibri"/>
          <w:lang w:val="en-US" w:eastAsia="en-US"/>
        </w:rPr>
        <w:t>ation,</w:t>
      </w:r>
      <w:r w:rsidRPr="00E4449B">
        <w:rPr>
          <w:rFonts w:eastAsia="Calibri"/>
          <w:spacing w:val="-5"/>
          <w:lang w:val="en-US" w:eastAsia="en-US"/>
        </w:rPr>
        <w:t xml:space="preserve"> </w:t>
      </w:r>
      <w:r w:rsidRPr="00E4449B">
        <w:rPr>
          <w:rFonts w:eastAsia="Calibri"/>
          <w:spacing w:val="-1"/>
          <w:lang w:val="en-US" w:eastAsia="en-US"/>
        </w:rPr>
        <w:t>he</w:t>
      </w:r>
      <w:r w:rsidRPr="00E4449B">
        <w:rPr>
          <w:rFonts w:eastAsia="Calibri"/>
          <w:lang w:val="en-US" w:eastAsia="en-US"/>
        </w:rPr>
        <w:t>alth,</w:t>
      </w:r>
      <w:r w:rsidRPr="00E4449B">
        <w:rPr>
          <w:rFonts w:eastAsia="Calibri"/>
          <w:spacing w:val="-4"/>
          <w:lang w:val="en-US" w:eastAsia="en-US"/>
        </w:rPr>
        <w:t xml:space="preserve"> </w:t>
      </w:r>
      <w:r w:rsidRPr="00E4449B">
        <w:rPr>
          <w:rFonts w:eastAsia="Calibri"/>
          <w:spacing w:val="-1"/>
          <w:lang w:val="en-US" w:eastAsia="en-US"/>
        </w:rPr>
        <w:t>housing</w:t>
      </w:r>
      <w:r w:rsidRPr="00E4449B">
        <w:rPr>
          <w:rFonts w:eastAsia="Calibri"/>
          <w:spacing w:val="-5"/>
          <w:lang w:val="en-US" w:eastAsia="en-US"/>
        </w:rPr>
        <w:t xml:space="preserve"> </w:t>
      </w:r>
      <w:r w:rsidRPr="00E4449B">
        <w:rPr>
          <w:rFonts w:eastAsia="Calibri"/>
          <w:lang w:val="en-US" w:eastAsia="en-US"/>
        </w:rPr>
        <w:t>and</w:t>
      </w:r>
      <w:r w:rsidRPr="00E4449B">
        <w:rPr>
          <w:rFonts w:eastAsia="Calibri"/>
          <w:spacing w:val="-6"/>
          <w:lang w:val="en-US" w:eastAsia="en-US"/>
        </w:rPr>
        <w:t xml:space="preserve"> </w:t>
      </w:r>
      <w:r w:rsidRPr="00E4449B">
        <w:rPr>
          <w:rFonts w:eastAsia="Calibri"/>
          <w:spacing w:val="-1"/>
          <w:lang w:val="en-US" w:eastAsia="en-US"/>
        </w:rPr>
        <w:t>social</w:t>
      </w:r>
      <w:r w:rsidRPr="00E4449B">
        <w:rPr>
          <w:rFonts w:eastAsia="Calibri"/>
          <w:spacing w:val="49"/>
          <w:w w:val="102"/>
          <w:lang w:val="en-US" w:eastAsia="en-US"/>
        </w:rPr>
        <w:t xml:space="preserve"> </w:t>
      </w:r>
      <w:r w:rsidRPr="00E4449B">
        <w:rPr>
          <w:rFonts w:eastAsia="Calibri"/>
          <w:spacing w:val="-1"/>
          <w:lang w:val="en-US" w:eastAsia="en-US"/>
        </w:rPr>
        <w:t>op</w:t>
      </w:r>
      <w:r w:rsidRPr="00E4449B">
        <w:rPr>
          <w:rFonts w:eastAsia="Calibri"/>
          <w:lang w:val="en-US" w:eastAsia="en-US"/>
        </w:rPr>
        <w:t>port</w:t>
      </w:r>
      <w:r w:rsidRPr="00E4449B">
        <w:rPr>
          <w:rFonts w:eastAsia="Calibri"/>
          <w:spacing w:val="-1"/>
          <w:lang w:val="en-US" w:eastAsia="en-US"/>
        </w:rPr>
        <w:t>u</w:t>
      </w:r>
      <w:r w:rsidRPr="00E4449B">
        <w:rPr>
          <w:rFonts w:eastAsia="Calibri"/>
          <w:lang w:val="en-US" w:eastAsia="en-US"/>
        </w:rPr>
        <w:t>nitie</w:t>
      </w:r>
      <w:r w:rsidRPr="00E4449B">
        <w:rPr>
          <w:rFonts w:eastAsia="Calibri"/>
          <w:spacing w:val="-1"/>
          <w:lang w:val="en-US" w:eastAsia="en-US"/>
        </w:rPr>
        <w:t>s</w:t>
      </w:r>
      <w:r w:rsidRPr="00E4449B">
        <w:rPr>
          <w:rFonts w:eastAsia="Calibri"/>
          <w:spacing w:val="-12"/>
          <w:lang w:val="en-US" w:eastAsia="en-US"/>
        </w:rPr>
        <w:t xml:space="preserve"> </w:t>
      </w:r>
      <w:r w:rsidRPr="00E4449B">
        <w:rPr>
          <w:rFonts w:eastAsia="Calibri"/>
          <w:spacing w:val="-1"/>
          <w:lang w:val="en-US" w:eastAsia="en-US"/>
        </w:rPr>
        <w:t>as</w:t>
      </w:r>
      <w:r w:rsidRPr="00E4449B">
        <w:rPr>
          <w:rFonts w:eastAsia="Calibri"/>
          <w:spacing w:val="-11"/>
          <w:lang w:val="en-US" w:eastAsia="en-US"/>
        </w:rPr>
        <w:t xml:space="preserve"> </w:t>
      </w:r>
      <w:r w:rsidRPr="00E4449B">
        <w:rPr>
          <w:rFonts w:eastAsia="Calibri"/>
          <w:spacing w:val="-1"/>
          <w:lang w:val="en-US" w:eastAsia="en-US"/>
        </w:rPr>
        <w:t>non-Indigenous</w:t>
      </w:r>
      <w:r w:rsidRPr="00E4449B">
        <w:rPr>
          <w:rFonts w:eastAsia="Calibri"/>
          <w:spacing w:val="-12"/>
          <w:lang w:val="en-US" w:eastAsia="en-US"/>
        </w:rPr>
        <w:t xml:space="preserve"> </w:t>
      </w:r>
      <w:r w:rsidRPr="00E4449B">
        <w:rPr>
          <w:rFonts w:eastAsia="Calibri"/>
          <w:lang w:val="en-US" w:eastAsia="en-US"/>
        </w:rPr>
        <w:t>Queen</w:t>
      </w:r>
      <w:r w:rsidRPr="00E4449B">
        <w:rPr>
          <w:rFonts w:eastAsia="Calibri"/>
          <w:spacing w:val="-1"/>
          <w:lang w:val="en-US" w:eastAsia="en-US"/>
        </w:rPr>
        <w:t>sland</w:t>
      </w:r>
      <w:r w:rsidRPr="00E4449B">
        <w:rPr>
          <w:rFonts w:eastAsia="Calibri"/>
          <w:lang w:val="en-US" w:eastAsia="en-US"/>
        </w:rPr>
        <w:t>er</w:t>
      </w:r>
      <w:r w:rsidRPr="00E4449B">
        <w:rPr>
          <w:rFonts w:eastAsia="Calibri"/>
          <w:spacing w:val="-1"/>
          <w:lang w:val="en-US" w:eastAsia="en-US"/>
        </w:rPr>
        <w:t>s.</w:t>
      </w:r>
    </w:p>
    <w:p w14:paraId="79C320C4" w14:textId="04F1CCCA" w:rsidR="00181949" w:rsidRPr="00E4449B" w:rsidRDefault="00181949" w:rsidP="00D83B53">
      <w:pPr>
        <w:rPr>
          <w:rFonts w:eastAsia="Calibri"/>
          <w:lang w:val="en-US" w:eastAsia="en-US"/>
        </w:rPr>
      </w:pPr>
      <w:r w:rsidRPr="00E4449B">
        <w:rPr>
          <w:rFonts w:eastAsia="Calibri"/>
          <w:lang w:val="en-US" w:eastAsia="en-US"/>
        </w:rPr>
        <w:t>To implement the</w:t>
      </w:r>
      <w:r w:rsidR="00264AD0">
        <w:rPr>
          <w:rFonts w:eastAsia="Calibri"/>
          <w:lang w:val="en-US" w:eastAsia="en-US"/>
        </w:rPr>
        <w:t xml:space="preserve"> </w:t>
      </w:r>
      <w:r w:rsidRPr="00264AD0">
        <w:rPr>
          <w:rFonts w:eastAsia="Calibri"/>
          <w:lang w:val="en-US" w:eastAsia="en-US"/>
        </w:rPr>
        <w:t>Framework,</w:t>
      </w:r>
      <w:r w:rsidRPr="00E4449B">
        <w:rPr>
          <w:rFonts w:eastAsia="Calibri"/>
          <w:lang w:val="en-US" w:eastAsia="en-US"/>
        </w:rPr>
        <w:t xml:space="preserve"> there is a mandatory requirement that all departments maintain a current Cultural Capability Action Plan (CCAP) and report on the implementation of their </w:t>
      </w:r>
      <w:r w:rsidR="00E75452" w:rsidRPr="00E4449B">
        <w:rPr>
          <w:rFonts w:eastAsia="Calibri"/>
          <w:lang w:val="en-US" w:eastAsia="en-US"/>
        </w:rPr>
        <w:t>Cultural Capability Action Plan</w:t>
      </w:r>
      <w:r w:rsidR="00264AD0">
        <w:rPr>
          <w:rFonts w:eastAsia="Calibri"/>
          <w:lang w:val="en-US" w:eastAsia="en-US"/>
        </w:rPr>
        <w:t xml:space="preserve"> (CCAP)</w:t>
      </w:r>
      <w:r w:rsidRPr="00E4449B">
        <w:rPr>
          <w:rFonts w:eastAsia="Calibri"/>
          <w:lang w:val="en-US" w:eastAsia="en-US"/>
        </w:rPr>
        <w:t xml:space="preserve">. The department is responsible for coordinating the reporting and ensuring compliance with the requirement for a current </w:t>
      </w:r>
      <w:r w:rsidR="00E75452" w:rsidRPr="00E4449B">
        <w:rPr>
          <w:rFonts w:eastAsia="Calibri"/>
          <w:lang w:val="en-US" w:eastAsia="en-US"/>
        </w:rPr>
        <w:t>C</w:t>
      </w:r>
      <w:r w:rsidR="00264AD0">
        <w:rPr>
          <w:rFonts w:eastAsia="Calibri"/>
          <w:lang w:val="en-US" w:eastAsia="en-US"/>
        </w:rPr>
        <w:t>CAP</w:t>
      </w:r>
      <w:r w:rsidRPr="00E4449B">
        <w:rPr>
          <w:rFonts w:eastAsia="Calibri"/>
          <w:lang w:val="en-US" w:eastAsia="en-US"/>
        </w:rPr>
        <w:t>.</w:t>
      </w:r>
    </w:p>
    <w:p w14:paraId="0CF385EC" w14:textId="4B3FADF1" w:rsidR="00181949" w:rsidRPr="00E4449B" w:rsidRDefault="00181949" w:rsidP="00D83B53">
      <w:pPr>
        <w:rPr>
          <w:rFonts w:eastAsia="Calibri"/>
          <w:lang w:val="en-US" w:eastAsia="en-US"/>
        </w:rPr>
      </w:pPr>
      <w:r w:rsidRPr="00E4449B">
        <w:rPr>
          <w:rFonts w:eastAsia="Calibri"/>
          <w:lang w:val="en-US" w:eastAsia="en-US"/>
        </w:rPr>
        <w:t xml:space="preserve">The department supports the implementation of the Framework by facilitating the Cultural Agency Leaders (CAL) committee and its supporting officer level Culture and Reconciliation Working Group (CARWG). The </w:t>
      </w:r>
      <w:r w:rsidR="00E75452" w:rsidRPr="00E4449B">
        <w:rPr>
          <w:rFonts w:eastAsia="Calibri"/>
          <w:lang w:val="en-US" w:eastAsia="en-US"/>
        </w:rPr>
        <w:t xml:space="preserve">Cultural Agency Leaders </w:t>
      </w:r>
      <w:r w:rsidR="00B22B0A" w:rsidRPr="00E4449B">
        <w:rPr>
          <w:rFonts w:eastAsia="Calibri"/>
          <w:lang w:val="en-US" w:eastAsia="en-US"/>
        </w:rPr>
        <w:t xml:space="preserve">committee </w:t>
      </w:r>
      <w:r w:rsidRPr="00E4449B">
        <w:rPr>
          <w:rFonts w:eastAsia="Calibri"/>
          <w:lang w:val="en-US" w:eastAsia="en-US"/>
        </w:rPr>
        <w:t>and</w:t>
      </w:r>
      <w:r w:rsidR="00E75452" w:rsidRPr="00E4449B">
        <w:t xml:space="preserve"> </w:t>
      </w:r>
      <w:r w:rsidR="00E75452" w:rsidRPr="00E4449B">
        <w:rPr>
          <w:rFonts w:eastAsia="Calibri"/>
          <w:lang w:val="en-US" w:eastAsia="en-US"/>
        </w:rPr>
        <w:t>Culture and Reconciliation Working Group</w:t>
      </w:r>
      <w:r w:rsidRPr="00E4449B">
        <w:rPr>
          <w:rFonts w:eastAsia="Calibri"/>
          <w:lang w:val="en-US" w:eastAsia="en-US"/>
        </w:rPr>
        <w:t xml:space="preserve"> have representation from all Queensland Government departments.</w:t>
      </w:r>
    </w:p>
    <w:p w14:paraId="1FE6F153" w14:textId="0F0CD139" w:rsidR="00E86FF9" w:rsidRPr="00D83B53" w:rsidRDefault="00E86FF9" w:rsidP="00D21656">
      <w:pPr>
        <w:pStyle w:val="Heading4"/>
      </w:pPr>
      <w:r w:rsidRPr="00D83B53">
        <w:t>Key achievements</w:t>
      </w:r>
    </w:p>
    <w:p w14:paraId="79C4B831" w14:textId="154821FB" w:rsidR="00E86FF9" w:rsidRPr="00E4449B" w:rsidRDefault="00326C8A" w:rsidP="00D83B53">
      <w:pPr>
        <w:rPr>
          <w:rFonts w:eastAsia="Calibri"/>
          <w:lang w:val="en-US" w:eastAsia="en-US"/>
        </w:rPr>
      </w:pPr>
      <w:r w:rsidRPr="00E4449B">
        <w:rPr>
          <w:rFonts w:eastAsia="Calibri"/>
          <w:lang w:val="en-US" w:eastAsia="en-US"/>
        </w:rPr>
        <w:t>During the reporting period, the</w:t>
      </w:r>
      <w:r w:rsidRPr="00E4449B">
        <w:rPr>
          <w:rFonts w:eastAsia="Calibri"/>
          <w:spacing w:val="-14"/>
          <w:lang w:val="en-US" w:eastAsia="en-US"/>
        </w:rPr>
        <w:t xml:space="preserve"> </w:t>
      </w:r>
      <w:r w:rsidRPr="00E4449B">
        <w:rPr>
          <w:rFonts w:eastAsia="Calibri"/>
          <w:spacing w:val="-1"/>
          <w:lang w:val="en-US" w:eastAsia="en-US"/>
        </w:rPr>
        <w:t>dep</w:t>
      </w:r>
      <w:r w:rsidRPr="00E4449B">
        <w:rPr>
          <w:rFonts w:eastAsia="Calibri"/>
          <w:spacing w:val="-2"/>
          <w:lang w:val="en-US" w:eastAsia="en-US"/>
        </w:rPr>
        <w:t>artment</w:t>
      </w:r>
      <w:r w:rsidR="00B22B0A" w:rsidRPr="00E4449B">
        <w:rPr>
          <w:rFonts w:eastAsia="Calibri"/>
          <w:spacing w:val="-2"/>
          <w:lang w:val="en-US" w:eastAsia="en-US"/>
        </w:rPr>
        <w:t>:</w:t>
      </w:r>
    </w:p>
    <w:p w14:paraId="772A9FDC" w14:textId="14874C51" w:rsidR="00E75452" w:rsidRPr="00D83B53" w:rsidRDefault="00B22B0A" w:rsidP="00D83B53">
      <w:pPr>
        <w:pStyle w:val="ListBullet"/>
        <w:rPr>
          <w:rFonts w:eastAsia="Calibri"/>
        </w:rPr>
      </w:pPr>
      <w:r w:rsidRPr="00D83B53">
        <w:rPr>
          <w:rFonts w:eastAsia="Calibri"/>
        </w:rPr>
        <w:t xml:space="preserve">supported </w:t>
      </w:r>
      <w:r w:rsidR="00546B75" w:rsidRPr="00D83B53">
        <w:rPr>
          <w:rFonts w:eastAsia="Calibri"/>
        </w:rPr>
        <w:t>18</w:t>
      </w:r>
      <w:r w:rsidR="00E75452" w:rsidRPr="00D83B53">
        <w:rPr>
          <w:rFonts w:eastAsia="Calibri"/>
        </w:rPr>
        <w:t xml:space="preserve"> Queensland Government agencies </w:t>
      </w:r>
      <w:r w:rsidRPr="00D83B53">
        <w:rPr>
          <w:rFonts w:eastAsia="Calibri"/>
        </w:rPr>
        <w:t>in developing a</w:t>
      </w:r>
      <w:r w:rsidR="00E75452" w:rsidRPr="00D83B53">
        <w:rPr>
          <w:rFonts w:eastAsia="Calibri"/>
        </w:rPr>
        <w:t xml:space="preserve"> </w:t>
      </w:r>
      <w:r w:rsidR="00264AD0">
        <w:rPr>
          <w:rFonts w:eastAsia="Calibri"/>
        </w:rPr>
        <w:t>CCAP</w:t>
      </w:r>
    </w:p>
    <w:p w14:paraId="5E8C0776" w14:textId="3DF48625" w:rsidR="00181949" w:rsidRPr="00D83B53" w:rsidRDefault="00B22B0A" w:rsidP="00D83B53">
      <w:pPr>
        <w:pStyle w:val="ListBullet"/>
        <w:rPr>
          <w:rFonts w:eastAsia="Calibri"/>
        </w:rPr>
      </w:pPr>
      <w:r w:rsidRPr="00D83B53">
        <w:rPr>
          <w:rFonts w:eastAsia="Calibri"/>
        </w:rPr>
        <w:t xml:space="preserve">encouraged active </w:t>
      </w:r>
      <w:r w:rsidR="00181949" w:rsidRPr="00D83B53">
        <w:rPr>
          <w:rFonts w:eastAsia="Calibri"/>
        </w:rPr>
        <w:t>participation at</w:t>
      </w:r>
      <w:r w:rsidR="00E75452" w:rsidRPr="00D83B53">
        <w:rPr>
          <w:rFonts w:eastAsia="Calibri"/>
        </w:rPr>
        <w:t xml:space="preserve"> </w:t>
      </w:r>
      <w:r w:rsidR="00264AD0">
        <w:rPr>
          <w:rFonts w:eastAsia="Calibri"/>
        </w:rPr>
        <w:t>CAL</w:t>
      </w:r>
      <w:r w:rsidR="00181949" w:rsidRPr="00D83B53">
        <w:rPr>
          <w:rFonts w:eastAsia="Calibri"/>
        </w:rPr>
        <w:t xml:space="preserve"> </w:t>
      </w:r>
      <w:r w:rsidRPr="00D83B53">
        <w:rPr>
          <w:rFonts w:eastAsia="Calibri"/>
        </w:rPr>
        <w:t xml:space="preserve">committee </w:t>
      </w:r>
      <w:r w:rsidR="00181949" w:rsidRPr="00D83B53">
        <w:rPr>
          <w:rFonts w:eastAsia="Calibri"/>
        </w:rPr>
        <w:t>and</w:t>
      </w:r>
      <w:r w:rsidR="00E75452" w:rsidRPr="00D83B53">
        <w:t xml:space="preserve"> </w:t>
      </w:r>
      <w:r w:rsidR="00264AD0">
        <w:t>CARWG</w:t>
      </w:r>
      <w:r w:rsidR="00181949" w:rsidRPr="00D83B53">
        <w:rPr>
          <w:rFonts w:eastAsia="Calibri"/>
        </w:rPr>
        <w:t xml:space="preserve"> meetings</w:t>
      </w:r>
    </w:p>
    <w:p w14:paraId="3D071C8C" w14:textId="0DE5F677" w:rsidR="00181949" w:rsidRPr="00D83B53" w:rsidRDefault="00181949" w:rsidP="00D83B53">
      <w:pPr>
        <w:pStyle w:val="ListBullet"/>
        <w:rPr>
          <w:rFonts w:eastAsia="Calibri"/>
        </w:rPr>
      </w:pPr>
      <w:r w:rsidRPr="00D83B53">
        <w:rPr>
          <w:rFonts w:eastAsia="Calibri"/>
        </w:rPr>
        <w:t>le</w:t>
      </w:r>
      <w:r w:rsidR="00B22B0A" w:rsidRPr="00D83B53">
        <w:rPr>
          <w:rFonts w:eastAsia="Calibri"/>
        </w:rPr>
        <w:t>d</w:t>
      </w:r>
      <w:r w:rsidRPr="00D83B53">
        <w:rPr>
          <w:rFonts w:eastAsia="Calibri"/>
        </w:rPr>
        <w:t xml:space="preserve"> the implementation of the Certificate IV in Indigenous Cultural Capability Training</w:t>
      </w:r>
    </w:p>
    <w:p w14:paraId="4C68586F" w14:textId="65403EE4" w:rsidR="00A35725" w:rsidRPr="00D83B53" w:rsidRDefault="00181949" w:rsidP="00E43202">
      <w:pPr>
        <w:pStyle w:val="ListBullet"/>
        <w:spacing w:after="200"/>
        <w:ind w:left="357" w:hanging="357"/>
        <w:contextualSpacing w:val="0"/>
        <w:rPr>
          <w:rFonts w:eastAsia="Calibri"/>
        </w:rPr>
      </w:pPr>
      <w:r w:rsidRPr="00D83B53">
        <w:rPr>
          <w:rFonts w:eastAsia="Calibri"/>
        </w:rPr>
        <w:t>progress</w:t>
      </w:r>
      <w:r w:rsidR="00B22B0A" w:rsidRPr="00D83B53">
        <w:rPr>
          <w:rFonts w:eastAsia="Calibri"/>
        </w:rPr>
        <w:t>ed</w:t>
      </w:r>
      <w:r w:rsidRPr="00D83B53">
        <w:rPr>
          <w:rFonts w:eastAsia="Calibri"/>
        </w:rPr>
        <w:t xml:space="preserve"> strategies to increase representation of Aboriginal peoples and Torres Strait Islander peoples on Queensland Government Boards and Committees</w:t>
      </w:r>
      <w:r w:rsidR="00A35725" w:rsidRPr="00D83B53">
        <w:rPr>
          <w:rFonts w:eastAsia="Calibri"/>
        </w:rPr>
        <w:t>.</w:t>
      </w:r>
    </w:p>
    <w:p w14:paraId="1B1A1D5C" w14:textId="0B66189B" w:rsidR="009D3CBA" w:rsidRPr="00E4449B" w:rsidRDefault="009D3CBA" w:rsidP="007524AB">
      <w:pPr>
        <w:pStyle w:val="Heading3"/>
      </w:pPr>
      <w:bookmarkStart w:id="60" w:name="_Toc78287379"/>
      <w:bookmarkStart w:id="61" w:name="_Toc78355786"/>
      <w:r w:rsidRPr="00E4449B">
        <w:t>Moving Ahead strategy</w:t>
      </w:r>
    </w:p>
    <w:p w14:paraId="53E51E06" w14:textId="00DCC571" w:rsidR="009D3CBA" w:rsidRPr="00264AD0" w:rsidRDefault="009D3CBA" w:rsidP="003B3D1E">
      <w:pPr>
        <w:rPr>
          <w:rFonts w:eastAsia="Calibri"/>
          <w:lang w:val="en-US" w:eastAsia="en-US"/>
        </w:rPr>
      </w:pPr>
      <w:r w:rsidRPr="00E4449B">
        <w:rPr>
          <w:rFonts w:eastAsia="Calibri"/>
          <w:lang w:val="en-US" w:eastAsia="en-US"/>
        </w:rPr>
        <w:t>Throughout the reporting period</w:t>
      </w:r>
      <w:r w:rsidRPr="00264AD0">
        <w:rPr>
          <w:rFonts w:eastAsia="Calibri"/>
          <w:lang w:val="en-US" w:eastAsia="en-US"/>
        </w:rPr>
        <w:t xml:space="preserve">, </w:t>
      </w:r>
      <w:r w:rsidRPr="00E4449B">
        <w:rPr>
          <w:rFonts w:eastAsia="Calibri"/>
          <w:lang w:val="en-US" w:eastAsia="en-US"/>
        </w:rPr>
        <w:t>the</w:t>
      </w:r>
      <w:r w:rsidRPr="00264AD0">
        <w:rPr>
          <w:rFonts w:eastAsia="Calibri"/>
          <w:lang w:val="en-US" w:eastAsia="en-US"/>
        </w:rPr>
        <w:t xml:space="preserve"> Queensland Government </w:t>
      </w:r>
      <w:r w:rsidRPr="00E4449B">
        <w:rPr>
          <w:rFonts w:eastAsia="Calibri"/>
          <w:lang w:val="en-US" w:eastAsia="en-US"/>
        </w:rPr>
        <w:t>continued to implement the whole-of</w:t>
      </w:r>
      <w:r w:rsidRPr="00264AD0">
        <w:rPr>
          <w:rFonts w:eastAsia="Calibri"/>
          <w:lang w:val="en-US" w:eastAsia="en-US"/>
        </w:rPr>
        <w:t xml:space="preserve">-government strategy </w:t>
      </w:r>
      <w:r w:rsidRPr="00264AD0">
        <w:rPr>
          <w:rFonts w:eastAsia="Calibri"/>
          <w:i/>
          <w:iCs/>
          <w:lang w:val="en-US" w:eastAsia="en-US"/>
        </w:rPr>
        <w:t>Moving Ahead: A strategic approach to increasing the participation of Aboriginal people and Torres Strait Islander people in Queensland’s economy 2016–2022</w:t>
      </w:r>
      <w:r w:rsidR="001415A9" w:rsidRPr="00264AD0">
        <w:rPr>
          <w:rFonts w:eastAsia="Calibri"/>
          <w:lang w:val="en-US" w:eastAsia="en-US"/>
        </w:rPr>
        <w:t xml:space="preserve"> (Moving Ahead)</w:t>
      </w:r>
      <w:r w:rsidRPr="00264AD0">
        <w:rPr>
          <w:rFonts w:eastAsia="Calibri"/>
          <w:lang w:val="en-US" w:eastAsia="en-US"/>
        </w:rPr>
        <w:t>.</w:t>
      </w:r>
    </w:p>
    <w:p w14:paraId="7F7F821B" w14:textId="77777777" w:rsidR="00264AD0" w:rsidRDefault="00264AD0" w:rsidP="003B3D1E">
      <w:pPr>
        <w:rPr>
          <w:rFonts w:eastAsia="Calibri"/>
          <w:lang w:val="en-US" w:eastAsia="en-US"/>
        </w:rPr>
      </w:pPr>
      <w:r>
        <w:rPr>
          <w:rFonts w:eastAsia="Calibri"/>
          <w:lang w:val="en-US" w:eastAsia="en-US"/>
        </w:rPr>
        <w:t>Moving Ahead</w:t>
      </w:r>
      <w:r w:rsidR="009D3CBA" w:rsidRPr="00264AD0">
        <w:rPr>
          <w:rFonts w:eastAsia="Calibri"/>
          <w:lang w:val="en-US" w:eastAsia="en-US"/>
        </w:rPr>
        <w:t xml:space="preserve"> seeks to increase Aboriginal peoples and Torres Strait Islander peoples’ participation in the economy by building a more skilled and diverse workforce and supporting business and entrepreneurship, with a focus on the needs of young people and on building partnerships with industry. </w:t>
      </w:r>
    </w:p>
    <w:p w14:paraId="17BDB096" w14:textId="38BF7BD7" w:rsidR="009D3CBA" w:rsidRPr="00264AD0" w:rsidRDefault="009D3CBA" w:rsidP="003B3D1E">
      <w:pPr>
        <w:rPr>
          <w:rFonts w:eastAsia="Calibri"/>
          <w:lang w:val="en-US" w:eastAsia="en-US"/>
        </w:rPr>
      </w:pPr>
      <w:r w:rsidRPr="00264AD0">
        <w:rPr>
          <w:rFonts w:eastAsia="Calibri"/>
          <w:lang w:val="en-US" w:eastAsia="en-US"/>
        </w:rPr>
        <w:t>This involves the department continuing to drive the implementation of the Queensland Indigenous (Aboriginal and Torres Strait Islander) Procurement Policy</w:t>
      </w:r>
      <w:r w:rsidR="00264AD0">
        <w:rPr>
          <w:rFonts w:eastAsia="Calibri"/>
          <w:lang w:val="en-US" w:eastAsia="en-US"/>
        </w:rPr>
        <w:t xml:space="preserve"> (QIPP)</w:t>
      </w:r>
      <w:r w:rsidRPr="00264AD0">
        <w:rPr>
          <w:rFonts w:eastAsia="Calibri"/>
          <w:lang w:val="en-US" w:eastAsia="en-US"/>
        </w:rPr>
        <w:t xml:space="preserve">, which aims to increase the Queensland Government’s spend with Aboriginal and Torres Strait Islander businesses to three per cent of the value of the addressable procurement spend by 2022. This is a pathway to increasing Aboriginal and Torres Strait Islander economic participation through jobs and business ownership. For the purposes of the QIPP, an Aboriginal and Torres Strait Islander business is defined as one that is at least 50 per cent owned by an Aboriginal person or a Torres Strait Islander person, and which may take the form of a social enterprise, registered charity or not for profit </w:t>
      </w:r>
      <w:proofErr w:type="spellStart"/>
      <w:r w:rsidRPr="00264AD0">
        <w:rPr>
          <w:rFonts w:eastAsia="Calibri"/>
          <w:lang w:val="en-US" w:eastAsia="en-US"/>
        </w:rPr>
        <w:t>organisation</w:t>
      </w:r>
      <w:proofErr w:type="spellEnd"/>
      <w:r w:rsidRPr="00264AD0">
        <w:rPr>
          <w:rFonts w:eastAsia="Calibri"/>
          <w:lang w:val="en-US" w:eastAsia="en-US"/>
        </w:rPr>
        <w:t>.</w:t>
      </w:r>
    </w:p>
    <w:p w14:paraId="632C2D40" w14:textId="346AFC98" w:rsidR="009D3CBA" w:rsidRPr="00D83B53" w:rsidRDefault="00E43202" w:rsidP="00D21656">
      <w:pPr>
        <w:pStyle w:val="Heading4"/>
      </w:pPr>
      <w:r>
        <w:br w:type="column"/>
      </w:r>
      <w:r w:rsidR="009D3CBA" w:rsidRPr="00D83B53">
        <w:lastRenderedPageBreak/>
        <w:t>Key achievements</w:t>
      </w:r>
    </w:p>
    <w:p w14:paraId="30D0EA62" w14:textId="77777777" w:rsidR="009D3CBA" w:rsidRPr="00E4449B" w:rsidRDefault="009D3CBA" w:rsidP="003B3D1E">
      <w:pPr>
        <w:rPr>
          <w:rFonts w:eastAsia="Calibri"/>
          <w:lang w:val="en-US" w:eastAsia="en-US"/>
        </w:rPr>
      </w:pPr>
      <w:r w:rsidRPr="00E4449B">
        <w:rPr>
          <w:rFonts w:eastAsia="Calibri"/>
          <w:lang w:val="en-US" w:eastAsia="en-US"/>
        </w:rPr>
        <w:t>During the reporting period, the</w:t>
      </w:r>
      <w:r w:rsidRPr="00264AD0">
        <w:rPr>
          <w:rFonts w:eastAsia="Calibri"/>
          <w:lang w:val="en-US" w:eastAsia="en-US"/>
        </w:rPr>
        <w:t xml:space="preserve"> department:</w:t>
      </w:r>
    </w:p>
    <w:p w14:paraId="59BC8E49" w14:textId="77777777" w:rsidR="009D3CBA" w:rsidRPr="00264AD0" w:rsidRDefault="009D3CBA" w:rsidP="00264AD0">
      <w:pPr>
        <w:pStyle w:val="ListBullet"/>
        <w:rPr>
          <w:rFonts w:eastAsia="Calibri"/>
          <w:lang w:val="en-US" w:eastAsia="en-US"/>
        </w:rPr>
      </w:pPr>
      <w:r w:rsidRPr="00264AD0">
        <w:rPr>
          <w:rFonts w:eastAsia="Calibri"/>
          <w:lang w:val="en-US" w:eastAsia="en-US"/>
        </w:rPr>
        <w:t>led the preparation and delivery of the 2019-2020 Moving Ahead Annual Report, which showed that Moving Ahead actions remained on track and were continuing to achieve positive economic participation outcomes for Aboriginal and Torres Strait Islander Queenslanders</w:t>
      </w:r>
    </w:p>
    <w:p w14:paraId="31AB7ACF" w14:textId="7B083681" w:rsidR="009D3CBA" w:rsidRPr="00264AD0" w:rsidRDefault="009D3CBA" w:rsidP="00264AD0">
      <w:pPr>
        <w:pStyle w:val="ListBullet"/>
        <w:rPr>
          <w:rFonts w:eastAsia="Calibri"/>
          <w:lang w:val="en-US" w:eastAsia="en-US"/>
        </w:rPr>
      </w:pPr>
      <w:r w:rsidRPr="00264AD0">
        <w:rPr>
          <w:rFonts w:eastAsia="Calibri"/>
          <w:lang w:val="en-US" w:eastAsia="en-US"/>
        </w:rPr>
        <w:t>conducted a</w:t>
      </w:r>
      <w:r w:rsidR="00D36696" w:rsidRPr="00264AD0">
        <w:rPr>
          <w:rFonts w:eastAsia="Calibri"/>
          <w:lang w:val="en-US" w:eastAsia="en-US"/>
        </w:rPr>
        <w:t>n</w:t>
      </w:r>
      <w:r w:rsidR="00FE102A" w:rsidRPr="00264AD0">
        <w:rPr>
          <w:rFonts w:eastAsia="Calibri"/>
          <w:lang w:val="en-US" w:eastAsia="en-US"/>
        </w:rPr>
        <w:t xml:space="preserve"> </w:t>
      </w:r>
      <w:r w:rsidRPr="00264AD0">
        <w:rPr>
          <w:rFonts w:eastAsia="Calibri"/>
          <w:lang w:val="en-US" w:eastAsia="en-US"/>
        </w:rPr>
        <w:t>i</w:t>
      </w:r>
      <w:r w:rsidR="00264AD0">
        <w:rPr>
          <w:rFonts w:eastAsia="Calibri"/>
          <w:lang w:val="en-US" w:eastAsia="en-US"/>
        </w:rPr>
        <w:t xml:space="preserve">mplementation </w:t>
      </w:r>
      <w:r w:rsidRPr="00264AD0">
        <w:rPr>
          <w:rFonts w:eastAsia="Calibri"/>
          <w:lang w:val="en-US" w:eastAsia="en-US"/>
        </w:rPr>
        <w:t xml:space="preserve">review of the QIPP, which showed the QIPP working well within the principles, operating models and governance framework of the Queensland Procurement Policy, with departments actively pursuing the implementation of the QIPP with industry and Indigenous businesses  </w:t>
      </w:r>
    </w:p>
    <w:p w14:paraId="1A932D72" w14:textId="3EA85BF9" w:rsidR="009D3CBA" w:rsidRPr="00264AD0" w:rsidRDefault="009D3CBA" w:rsidP="00264AD0">
      <w:pPr>
        <w:pStyle w:val="ListBullet"/>
        <w:rPr>
          <w:rFonts w:eastAsia="Calibri"/>
          <w:lang w:val="en-US" w:eastAsia="en-US"/>
        </w:rPr>
      </w:pPr>
      <w:r w:rsidRPr="00264AD0">
        <w:rPr>
          <w:rFonts w:eastAsia="Calibri"/>
          <w:lang w:val="en-US" w:eastAsia="en-US"/>
        </w:rPr>
        <w:t xml:space="preserve">conducted </w:t>
      </w:r>
      <w:r w:rsidR="00264AD0">
        <w:rPr>
          <w:rFonts w:eastAsia="Calibri"/>
          <w:lang w:val="en-US" w:eastAsia="en-US"/>
        </w:rPr>
        <w:t>11</w:t>
      </w:r>
      <w:r w:rsidRPr="00264AD0">
        <w:rPr>
          <w:rFonts w:eastAsia="Calibri"/>
          <w:lang w:val="en-US" w:eastAsia="en-US"/>
        </w:rPr>
        <w:t xml:space="preserve"> webinars for government procurement officers to improve their understanding of the QIPP and Aboriginal and Torres Strait Islander businesses</w:t>
      </w:r>
    </w:p>
    <w:p w14:paraId="1B432484" w14:textId="77777777" w:rsidR="009D3CBA" w:rsidRPr="00264AD0" w:rsidRDefault="009D3CBA" w:rsidP="00264AD0">
      <w:pPr>
        <w:pStyle w:val="ListBullet"/>
        <w:rPr>
          <w:rFonts w:eastAsia="Calibri"/>
          <w:lang w:val="en-US" w:eastAsia="en-US"/>
        </w:rPr>
      </w:pPr>
      <w:r w:rsidRPr="00264AD0">
        <w:rPr>
          <w:rFonts w:eastAsia="Calibri"/>
          <w:lang w:val="en-US" w:eastAsia="en-US"/>
        </w:rPr>
        <w:t>conducted workshops and webinars for individual government agencies</w:t>
      </w:r>
    </w:p>
    <w:p w14:paraId="79DC94F8" w14:textId="39E8FF8C" w:rsidR="009D3CBA" w:rsidRDefault="009D3CBA" w:rsidP="00264AD0">
      <w:pPr>
        <w:pStyle w:val="ListBullet"/>
        <w:rPr>
          <w:rFonts w:eastAsia="Calibri"/>
          <w:lang w:val="en-US" w:eastAsia="en-US"/>
        </w:rPr>
      </w:pPr>
      <w:r w:rsidRPr="00264AD0">
        <w:rPr>
          <w:rFonts w:eastAsia="Calibri"/>
          <w:lang w:val="en-US" w:eastAsia="en-US"/>
        </w:rPr>
        <w:t xml:space="preserve">presented information about the QIPP at </w:t>
      </w:r>
      <w:r w:rsidR="0046460B">
        <w:rPr>
          <w:rFonts w:eastAsia="Calibri"/>
          <w:lang w:val="en-US" w:eastAsia="en-US"/>
        </w:rPr>
        <w:t>10</w:t>
      </w:r>
      <w:r w:rsidRPr="00264AD0">
        <w:rPr>
          <w:rFonts w:eastAsia="Calibri"/>
          <w:lang w:val="en-US" w:eastAsia="en-US"/>
        </w:rPr>
        <w:t xml:space="preserve"> Buy Queensland Forums.</w:t>
      </w:r>
    </w:p>
    <w:p w14:paraId="3AA074C7" w14:textId="03ED3B59" w:rsidR="0039123E" w:rsidRDefault="0039123E" w:rsidP="0039123E">
      <w:pPr>
        <w:pStyle w:val="Heading4"/>
      </w:pPr>
      <w:r w:rsidRPr="003B3D1E">
        <w:t>Performance measure</w:t>
      </w:r>
    </w:p>
    <w:p w14:paraId="3F0A803A" w14:textId="40BC2697" w:rsidR="0039123E" w:rsidRPr="00264AD0" w:rsidRDefault="0039123E" w:rsidP="0039123E">
      <w:pPr>
        <w:pStyle w:val="ListBullet"/>
        <w:numPr>
          <w:ilvl w:val="0"/>
          <w:numId w:val="0"/>
        </w:numPr>
        <w:ind w:left="357" w:hanging="357"/>
        <w:rPr>
          <w:rFonts w:eastAsia="Calibri"/>
          <w:lang w:val="en-US" w:eastAsia="en-US"/>
        </w:rPr>
      </w:pPr>
      <w:r w:rsidRPr="003B3D1E">
        <w:t>Number of Aboriginal and Torres Strait Islander businesses securing government procurement</w:t>
      </w:r>
    </w:p>
    <w:tbl>
      <w:tblPr>
        <w:tblStyle w:val="TableGrid1"/>
        <w:tblW w:w="0" w:type="auto"/>
        <w:tblInd w:w="100" w:type="dxa"/>
        <w:tblLayout w:type="fixed"/>
        <w:tblCellMar>
          <w:left w:w="0" w:type="dxa"/>
          <w:right w:w="0" w:type="dxa"/>
        </w:tblCellMar>
        <w:tblLook w:val="01E0" w:firstRow="1" w:lastRow="1" w:firstColumn="1" w:lastColumn="1" w:noHBand="0" w:noVBand="0"/>
      </w:tblPr>
      <w:tblGrid>
        <w:gridCol w:w="1373"/>
        <w:gridCol w:w="2213"/>
        <w:gridCol w:w="1912"/>
      </w:tblGrid>
      <w:tr w:rsidR="007744C2" w:rsidRPr="003B3D1E" w14:paraId="7B6FAD18" w14:textId="77777777" w:rsidTr="00695BCA">
        <w:trPr>
          <w:trHeight w:val="20"/>
        </w:trPr>
        <w:tc>
          <w:tcPr>
            <w:tcW w:w="1373" w:type="dxa"/>
            <w:shd w:val="clear" w:color="auto" w:fill="EBEBEC"/>
            <w:vAlign w:val="center"/>
          </w:tcPr>
          <w:p w14:paraId="0034DCEC" w14:textId="77777777" w:rsidR="007744C2" w:rsidRPr="0039123E" w:rsidRDefault="007744C2" w:rsidP="003B3D1E">
            <w:pPr>
              <w:rPr>
                <w:rFonts w:ascii="Arial" w:hAnsi="Arial"/>
                <w:b/>
                <w:bCs/>
              </w:rPr>
            </w:pPr>
            <w:r w:rsidRPr="0039123E">
              <w:rPr>
                <w:rFonts w:ascii="Arial" w:hAnsi="Arial"/>
                <w:b/>
                <w:bCs/>
              </w:rPr>
              <w:t>Year</w:t>
            </w:r>
          </w:p>
        </w:tc>
        <w:tc>
          <w:tcPr>
            <w:tcW w:w="2213" w:type="dxa"/>
            <w:shd w:val="clear" w:color="auto" w:fill="EBEBEC"/>
            <w:vAlign w:val="center"/>
          </w:tcPr>
          <w:p w14:paraId="070BF56C" w14:textId="77777777" w:rsidR="007744C2" w:rsidRPr="0039123E" w:rsidRDefault="007744C2" w:rsidP="003B3D1E">
            <w:pPr>
              <w:rPr>
                <w:rFonts w:ascii="Arial" w:hAnsi="Arial"/>
                <w:b/>
                <w:bCs/>
              </w:rPr>
            </w:pPr>
            <w:r w:rsidRPr="0039123E">
              <w:rPr>
                <w:rFonts w:ascii="Arial" w:hAnsi="Arial"/>
                <w:b/>
                <w:bCs/>
              </w:rPr>
              <w:t>Target</w:t>
            </w:r>
          </w:p>
        </w:tc>
        <w:tc>
          <w:tcPr>
            <w:tcW w:w="1912" w:type="dxa"/>
            <w:shd w:val="clear" w:color="auto" w:fill="EBEBEC"/>
            <w:vAlign w:val="center"/>
          </w:tcPr>
          <w:p w14:paraId="3DE453CD" w14:textId="6A8EE9FC" w:rsidR="007744C2" w:rsidRPr="0039123E" w:rsidRDefault="007744C2" w:rsidP="003B3D1E">
            <w:pPr>
              <w:rPr>
                <w:rFonts w:ascii="Arial" w:hAnsi="Arial"/>
              </w:rPr>
            </w:pPr>
            <w:r w:rsidRPr="0039123E">
              <w:rPr>
                <w:rFonts w:ascii="Arial" w:hAnsi="Arial"/>
                <w:b/>
                <w:bCs/>
              </w:rPr>
              <w:t xml:space="preserve">Actual </w:t>
            </w:r>
          </w:p>
        </w:tc>
      </w:tr>
      <w:tr w:rsidR="007744C2" w:rsidRPr="003B3D1E" w14:paraId="57FBA34C" w14:textId="77777777" w:rsidTr="00695BCA">
        <w:trPr>
          <w:trHeight w:val="20"/>
        </w:trPr>
        <w:tc>
          <w:tcPr>
            <w:tcW w:w="1373" w:type="dxa"/>
            <w:vAlign w:val="center"/>
          </w:tcPr>
          <w:p w14:paraId="6B7E28FB" w14:textId="4AB33A9C" w:rsidR="007744C2" w:rsidRPr="0039123E" w:rsidRDefault="007744C2" w:rsidP="003B3D1E">
            <w:pPr>
              <w:rPr>
                <w:rFonts w:ascii="Arial" w:hAnsi="Arial"/>
              </w:rPr>
            </w:pPr>
            <w:r w:rsidRPr="0039123E">
              <w:rPr>
                <w:rFonts w:ascii="Arial" w:hAnsi="Arial"/>
              </w:rPr>
              <w:t>2020–2021*</w:t>
            </w:r>
          </w:p>
        </w:tc>
        <w:tc>
          <w:tcPr>
            <w:tcW w:w="2213" w:type="dxa"/>
            <w:vAlign w:val="center"/>
          </w:tcPr>
          <w:p w14:paraId="61F711C1" w14:textId="77777777" w:rsidR="007744C2" w:rsidRPr="0039123E" w:rsidRDefault="007744C2" w:rsidP="003B3D1E">
            <w:pPr>
              <w:rPr>
                <w:rFonts w:ascii="Arial" w:hAnsi="Arial"/>
              </w:rPr>
            </w:pPr>
            <w:r w:rsidRPr="0039123E">
              <w:rPr>
                <w:rFonts w:ascii="Arial" w:hAnsi="Arial"/>
              </w:rPr>
              <w:t>450</w:t>
            </w:r>
          </w:p>
        </w:tc>
        <w:tc>
          <w:tcPr>
            <w:tcW w:w="1912" w:type="dxa"/>
            <w:vAlign w:val="center"/>
          </w:tcPr>
          <w:p w14:paraId="2F4A7F1F" w14:textId="045051B8" w:rsidR="007744C2" w:rsidRPr="0039123E" w:rsidRDefault="00056D3A" w:rsidP="003B3D1E">
            <w:pPr>
              <w:rPr>
                <w:rFonts w:ascii="Arial" w:eastAsia="Wingdings 3" w:hAnsi="Arial"/>
              </w:rPr>
            </w:pPr>
            <w:r w:rsidRPr="0039123E">
              <w:rPr>
                <w:rFonts w:ascii="Arial" w:eastAsia="Wingdings 3" w:hAnsi="Arial"/>
              </w:rPr>
              <w:t>180</w:t>
            </w:r>
            <w:r w:rsidR="00B93C9D" w:rsidRPr="0039123E">
              <w:rPr>
                <w:rFonts w:ascii="Arial" w:eastAsia="Wingdings 3" w:hAnsi="Arial"/>
              </w:rPr>
              <w:t>**</w:t>
            </w:r>
          </w:p>
        </w:tc>
      </w:tr>
    </w:tbl>
    <w:p w14:paraId="6BB48F0C" w14:textId="2B898DB2" w:rsidR="009D3CBA" w:rsidRPr="0004484D" w:rsidRDefault="009D3CBA" w:rsidP="009D3CBA">
      <w:pPr>
        <w:widowControl w:val="0"/>
        <w:spacing w:before="52" w:after="0" w:line="240" w:lineRule="auto"/>
        <w:rPr>
          <w:rFonts w:eastAsia="Calibri"/>
        </w:rPr>
      </w:pPr>
      <w:r w:rsidRPr="0004484D">
        <w:rPr>
          <w:rStyle w:val="EndnoteReference"/>
          <w:rFonts w:eastAsia="Calibri"/>
        </w:rPr>
        <w:t>*Performance information for 1</w:t>
      </w:r>
      <w:r w:rsidR="00B93C9D" w:rsidRPr="0004484D">
        <w:rPr>
          <w:rStyle w:val="EndnoteReference"/>
          <w:rFonts w:eastAsia="Calibri"/>
        </w:rPr>
        <w:t xml:space="preserve"> October </w:t>
      </w:r>
      <w:r w:rsidRPr="0004484D">
        <w:rPr>
          <w:rStyle w:val="EndnoteReference"/>
          <w:rFonts w:eastAsia="Calibri"/>
        </w:rPr>
        <w:t>2020 to 3</w:t>
      </w:r>
      <w:r w:rsidR="00B93C9D" w:rsidRPr="0004484D">
        <w:rPr>
          <w:rStyle w:val="EndnoteReference"/>
          <w:rFonts w:eastAsia="Calibri"/>
        </w:rPr>
        <w:t>1</w:t>
      </w:r>
      <w:r w:rsidRPr="0004484D">
        <w:rPr>
          <w:rStyle w:val="EndnoteReference"/>
          <w:rFonts w:eastAsia="Calibri"/>
        </w:rPr>
        <w:t xml:space="preserve"> </w:t>
      </w:r>
      <w:r w:rsidR="00B93C9D" w:rsidRPr="0004484D">
        <w:rPr>
          <w:rStyle w:val="EndnoteReference"/>
          <w:rFonts w:eastAsia="Calibri"/>
        </w:rPr>
        <w:t>March</w:t>
      </w:r>
      <w:r w:rsidRPr="0004484D">
        <w:rPr>
          <w:rStyle w:val="EndnoteReference"/>
          <w:rFonts w:eastAsia="Calibri"/>
        </w:rPr>
        <w:t xml:space="preserve"> 2021 reporting period</w:t>
      </w:r>
    </w:p>
    <w:p w14:paraId="72D0AC4C" w14:textId="6D5D1BFB" w:rsidR="00B93C9D" w:rsidRDefault="00B93C9D" w:rsidP="0046460B">
      <w:pPr>
        <w:pStyle w:val="Heading3"/>
        <w:spacing w:after="0"/>
        <w:rPr>
          <w:rFonts w:eastAsia="Calibri"/>
          <w:bCs w:val="0"/>
          <w:color w:val="auto"/>
          <w:lang w:eastAsia="en-AU"/>
        </w:rPr>
      </w:pPr>
      <w:r w:rsidRPr="0046460B">
        <w:rPr>
          <w:rStyle w:val="EndnoteReference"/>
          <w:rFonts w:eastAsia="Calibri"/>
          <w:bCs w:val="0"/>
          <w:color w:val="auto"/>
          <w:lang w:eastAsia="en-AU"/>
        </w:rPr>
        <w:t>**</w:t>
      </w:r>
      <w:r w:rsidR="00BC1A9F" w:rsidRPr="0046460B">
        <w:rPr>
          <w:rStyle w:val="EndnoteReference"/>
          <w:rFonts w:eastAsia="Calibri"/>
          <w:bCs w:val="0"/>
          <w:color w:val="auto"/>
          <w:lang w:eastAsia="en-AU"/>
        </w:rPr>
        <w:t>for further information</w:t>
      </w:r>
      <w:r w:rsidRPr="0046460B">
        <w:rPr>
          <w:rStyle w:val="EndnoteReference"/>
          <w:rFonts w:eastAsia="Calibri"/>
          <w:bCs w:val="0"/>
          <w:color w:val="auto"/>
          <w:lang w:eastAsia="en-AU"/>
        </w:rPr>
        <w:t xml:space="preserve"> please refer </w:t>
      </w:r>
      <w:r w:rsidRPr="00056D3A">
        <w:rPr>
          <w:rStyle w:val="EndnoteReference"/>
          <w:bCs w:val="0"/>
          <w:color w:val="auto"/>
          <w:lang w:eastAsia="en-AU"/>
        </w:rPr>
        <w:t xml:space="preserve">to </w:t>
      </w:r>
      <w:r w:rsidR="00056D3A" w:rsidRPr="00056D3A">
        <w:rPr>
          <w:rStyle w:val="EndnoteReference"/>
          <w:bCs w:val="0"/>
          <w:color w:val="auto"/>
          <w:lang w:eastAsia="en-AU"/>
        </w:rPr>
        <w:t>A</w:t>
      </w:r>
      <w:r w:rsidRPr="00056D3A">
        <w:rPr>
          <w:rStyle w:val="EndnoteReference"/>
          <w:bCs w:val="0"/>
          <w:color w:val="auto"/>
          <w:lang w:eastAsia="en-AU"/>
        </w:rPr>
        <w:t>ppendix</w:t>
      </w:r>
      <w:r w:rsidR="0004484D" w:rsidRPr="0046460B">
        <w:rPr>
          <w:rFonts w:eastAsia="Calibri"/>
          <w:bCs w:val="0"/>
          <w:color w:val="auto"/>
          <w:lang w:eastAsia="en-AU"/>
        </w:rPr>
        <w:t xml:space="preserve"> </w:t>
      </w:r>
      <w:r w:rsidRPr="0046460B">
        <w:rPr>
          <w:rStyle w:val="EndnoteReference"/>
          <w:rFonts w:eastAsia="Calibri"/>
          <w:bCs w:val="0"/>
          <w:color w:val="auto"/>
          <w:lang w:eastAsia="en-AU"/>
        </w:rPr>
        <w:t>4, note 8, pag</w:t>
      </w:r>
      <w:r w:rsidR="0046460B" w:rsidRPr="0046460B">
        <w:rPr>
          <w:rStyle w:val="EndnoteReference"/>
          <w:rFonts w:eastAsia="Calibri"/>
        </w:rPr>
        <w:t>e 64.</w:t>
      </w:r>
    </w:p>
    <w:p w14:paraId="7513A9BD" w14:textId="77777777" w:rsidR="0046460B" w:rsidRPr="0046460B" w:rsidRDefault="0046460B" w:rsidP="0046460B">
      <w:pPr>
        <w:pStyle w:val="Heading3"/>
        <w:spacing w:after="0"/>
        <w:rPr>
          <w:rStyle w:val="EndnoteReference"/>
          <w:bCs w:val="0"/>
          <w:color w:val="auto"/>
          <w:lang w:eastAsia="en-AU"/>
        </w:rPr>
      </w:pPr>
      <w:r w:rsidRPr="0046460B">
        <w:rPr>
          <w:rStyle w:val="EndnoteReference"/>
          <w:bCs w:val="0"/>
          <w:color w:val="auto"/>
          <w:lang w:eastAsia="en-AU"/>
        </w:rPr>
        <w:t>Additionally, the former Department of Aboriginal and Torres Strait Islander Partnerships</w:t>
      </w:r>
    </w:p>
    <w:p w14:paraId="0E63A97B" w14:textId="77777777" w:rsidR="0046460B" w:rsidRPr="0046460B" w:rsidRDefault="0046460B" w:rsidP="0046460B">
      <w:pPr>
        <w:pStyle w:val="Heading3"/>
        <w:spacing w:after="0"/>
        <w:rPr>
          <w:rStyle w:val="EndnoteReference"/>
          <w:bCs w:val="0"/>
          <w:color w:val="auto"/>
          <w:lang w:eastAsia="en-AU"/>
        </w:rPr>
      </w:pPr>
      <w:r w:rsidRPr="0046460B">
        <w:rPr>
          <w:rStyle w:val="EndnoteReference"/>
          <w:bCs w:val="0"/>
          <w:color w:val="auto"/>
          <w:lang w:eastAsia="en-AU"/>
        </w:rPr>
        <w:t>reported that the number of Aboriginal and Torres Strait Islander businesses securing</w:t>
      </w:r>
    </w:p>
    <w:p w14:paraId="5379AC70" w14:textId="77777777" w:rsidR="0058799F" w:rsidRPr="0058799F" w:rsidRDefault="0046460B" w:rsidP="0046460B">
      <w:pPr>
        <w:pStyle w:val="Heading3"/>
        <w:spacing w:after="0"/>
        <w:rPr>
          <w:rStyle w:val="EndnoteReference"/>
          <w:bCs w:val="0"/>
          <w:color w:val="auto"/>
        </w:rPr>
      </w:pPr>
      <w:r w:rsidRPr="0046460B">
        <w:rPr>
          <w:rStyle w:val="EndnoteReference"/>
          <w:bCs w:val="0"/>
          <w:color w:val="auto"/>
          <w:lang w:eastAsia="en-AU"/>
        </w:rPr>
        <w:t>government procurement, for the 1 July 2020 to 30 September 2020 period, was 294</w:t>
      </w:r>
      <w:r w:rsidR="0058799F" w:rsidRPr="0058799F">
        <w:rPr>
          <w:rStyle w:val="EndnoteReference"/>
          <w:bCs w:val="0"/>
          <w:color w:val="auto"/>
          <w:lang w:eastAsia="en-AU"/>
        </w:rPr>
        <w:t xml:space="preserve">, </w:t>
      </w:r>
    </w:p>
    <w:p w14:paraId="33F96C40" w14:textId="61CC530C" w:rsidR="0046460B" w:rsidRDefault="0058799F" w:rsidP="0039123E">
      <w:pPr>
        <w:pStyle w:val="Heading3"/>
        <w:spacing w:after="240"/>
        <w:rPr>
          <w:rStyle w:val="EndnoteReference"/>
          <w:bCs w:val="0"/>
          <w:color w:val="auto"/>
          <w:lang w:eastAsia="en-AU"/>
        </w:rPr>
      </w:pPr>
      <w:r w:rsidRPr="0058799F">
        <w:rPr>
          <w:rStyle w:val="EndnoteReference"/>
          <w:bCs w:val="0"/>
          <w:color w:val="auto"/>
          <w:lang w:eastAsia="en-AU"/>
        </w:rPr>
        <w:t>and this should be taken into consideration when collating full financial year figures</w:t>
      </w:r>
      <w:r w:rsidR="0046460B" w:rsidRPr="0046460B">
        <w:rPr>
          <w:rStyle w:val="EndnoteReference"/>
          <w:bCs w:val="0"/>
          <w:color w:val="auto"/>
          <w:lang w:eastAsia="en-AU"/>
        </w:rPr>
        <w:t>.</w:t>
      </w:r>
    </w:p>
    <w:p w14:paraId="58B317F3" w14:textId="2AC2B77E" w:rsidR="0039123E" w:rsidRDefault="0039123E" w:rsidP="0039123E">
      <w:pPr>
        <w:pStyle w:val="Heading4"/>
      </w:pPr>
      <w:r w:rsidRPr="003B3D1E">
        <w:t>Performance measure</w:t>
      </w:r>
    </w:p>
    <w:p w14:paraId="0B062216" w14:textId="113C45B4" w:rsidR="0039123E" w:rsidRPr="0039123E" w:rsidRDefault="0039123E" w:rsidP="0039123E">
      <w:pPr>
        <w:spacing w:after="120"/>
      </w:pPr>
      <w:r w:rsidRPr="003B3D1E">
        <w:t>Value of government procurement from Aboriginal and Torres Strait Islander businesses</w:t>
      </w:r>
    </w:p>
    <w:tbl>
      <w:tblPr>
        <w:tblStyle w:val="TableGrid1"/>
        <w:tblW w:w="0" w:type="auto"/>
        <w:tblInd w:w="100" w:type="dxa"/>
        <w:tblLayout w:type="fixed"/>
        <w:tblCellMar>
          <w:left w:w="0" w:type="dxa"/>
          <w:right w:w="0" w:type="dxa"/>
        </w:tblCellMar>
        <w:tblLook w:val="01E0" w:firstRow="1" w:lastRow="1" w:firstColumn="1" w:lastColumn="1" w:noHBand="0" w:noVBand="0"/>
      </w:tblPr>
      <w:tblGrid>
        <w:gridCol w:w="1373"/>
        <w:gridCol w:w="2213"/>
        <w:gridCol w:w="1912"/>
      </w:tblGrid>
      <w:tr w:rsidR="007744C2" w:rsidRPr="003B3D1E" w14:paraId="62FF5113" w14:textId="77777777" w:rsidTr="00695BCA">
        <w:trPr>
          <w:trHeight w:val="20"/>
        </w:trPr>
        <w:tc>
          <w:tcPr>
            <w:tcW w:w="1373" w:type="dxa"/>
            <w:shd w:val="clear" w:color="auto" w:fill="EBEBEC"/>
            <w:vAlign w:val="center"/>
          </w:tcPr>
          <w:p w14:paraId="273625AE" w14:textId="77777777" w:rsidR="007744C2" w:rsidRPr="0039123E" w:rsidRDefault="007744C2" w:rsidP="003B3D1E">
            <w:pPr>
              <w:rPr>
                <w:rFonts w:ascii="Arial" w:hAnsi="Arial"/>
                <w:b/>
                <w:bCs/>
              </w:rPr>
            </w:pPr>
            <w:r w:rsidRPr="0039123E">
              <w:rPr>
                <w:rFonts w:ascii="Arial" w:hAnsi="Arial"/>
                <w:b/>
                <w:bCs/>
              </w:rPr>
              <w:t>Year</w:t>
            </w:r>
          </w:p>
        </w:tc>
        <w:tc>
          <w:tcPr>
            <w:tcW w:w="2213" w:type="dxa"/>
            <w:shd w:val="clear" w:color="auto" w:fill="EBEBEC"/>
            <w:vAlign w:val="center"/>
          </w:tcPr>
          <w:p w14:paraId="63504672" w14:textId="77777777" w:rsidR="007744C2" w:rsidRPr="0039123E" w:rsidRDefault="007744C2" w:rsidP="003B3D1E">
            <w:pPr>
              <w:rPr>
                <w:rFonts w:ascii="Arial" w:hAnsi="Arial"/>
                <w:b/>
                <w:bCs/>
              </w:rPr>
            </w:pPr>
            <w:r w:rsidRPr="0039123E">
              <w:rPr>
                <w:rFonts w:ascii="Arial" w:hAnsi="Arial"/>
                <w:b/>
                <w:bCs/>
              </w:rPr>
              <w:t>Target</w:t>
            </w:r>
          </w:p>
        </w:tc>
        <w:tc>
          <w:tcPr>
            <w:tcW w:w="1912" w:type="dxa"/>
            <w:shd w:val="clear" w:color="auto" w:fill="EBEBEC"/>
            <w:vAlign w:val="center"/>
          </w:tcPr>
          <w:p w14:paraId="220989FC" w14:textId="13C85B9C" w:rsidR="007744C2" w:rsidRPr="0039123E" w:rsidRDefault="007744C2" w:rsidP="003B3D1E">
            <w:pPr>
              <w:rPr>
                <w:rFonts w:ascii="Arial" w:hAnsi="Arial"/>
                <w:b/>
                <w:bCs/>
              </w:rPr>
            </w:pPr>
            <w:r w:rsidRPr="0039123E">
              <w:rPr>
                <w:rFonts w:ascii="Arial" w:hAnsi="Arial"/>
                <w:b/>
                <w:bCs/>
              </w:rPr>
              <w:t xml:space="preserve">Actual </w:t>
            </w:r>
          </w:p>
        </w:tc>
      </w:tr>
      <w:tr w:rsidR="007744C2" w:rsidRPr="003B3D1E" w14:paraId="2A2E81F9" w14:textId="77777777" w:rsidTr="00695BCA">
        <w:trPr>
          <w:trHeight w:val="20"/>
        </w:trPr>
        <w:tc>
          <w:tcPr>
            <w:tcW w:w="1373" w:type="dxa"/>
            <w:vAlign w:val="center"/>
          </w:tcPr>
          <w:p w14:paraId="0BC420D9" w14:textId="18477A0E" w:rsidR="007744C2" w:rsidRPr="0039123E" w:rsidRDefault="007744C2" w:rsidP="003B3D1E">
            <w:pPr>
              <w:rPr>
                <w:rFonts w:ascii="Arial" w:hAnsi="Arial"/>
              </w:rPr>
            </w:pPr>
            <w:r w:rsidRPr="0039123E">
              <w:rPr>
                <w:rFonts w:ascii="Arial" w:hAnsi="Arial"/>
              </w:rPr>
              <w:t>2020–2021*</w:t>
            </w:r>
          </w:p>
        </w:tc>
        <w:tc>
          <w:tcPr>
            <w:tcW w:w="2213" w:type="dxa"/>
            <w:vAlign w:val="center"/>
          </w:tcPr>
          <w:p w14:paraId="7E2CE019" w14:textId="77777777" w:rsidR="007744C2" w:rsidRPr="0039123E" w:rsidRDefault="007744C2" w:rsidP="003B3D1E">
            <w:pPr>
              <w:rPr>
                <w:rFonts w:ascii="Arial" w:hAnsi="Arial"/>
              </w:rPr>
            </w:pPr>
            <w:r w:rsidRPr="0039123E">
              <w:rPr>
                <w:rFonts w:ascii="Arial" w:hAnsi="Arial"/>
              </w:rPr>
              <w:t>$350M</w:t>
            </w:r>
          </w:p>
        </w:tc>
        <w:tc>
          <w:tcPr>
            <w:tcW w:w="1912" w:type="dxa"/>
            <w:vAlign w:val="center"/>
          </w:tcPr>
          <w:p w14:paraId="3D48BAAE" w14:textId="21DCDFA5" w:rsidR="007744C2" w:rsidRPr="0039123E" w:rsidRDefault="00B93C9D" w:rsidP="003B3D1E">
            <w:pPr>
              <w:rPr>
                <w:rFonts w:ascii="Arial" w:eastAsia="Wingdings 3" w:hAnsi="Arial"/>
              </w:rPr>
            </w:pPr>
            <w:r w:rsidRPr="0039123E">
              <w:rPr>
                <w:rFonts w:ascii="Arial" w:eastAsia="Wingdings 3" w:hAnsi="Arial"/>
              </w:rPr>
              <w:t>$</w:t>
            </w:r>
            <w:r w:rsidR="00056D3A" w:rsidRPr="0039123E">
              <w:rPr>
                <w:rFonts w:ascii="Arial" w:eastAsia="Wingdings 3" w:hAnsi="Arial"/>
              </w:rPr>
              <w:t>243.36</w:t>
            </w:r>
            <w:r w:rsidR="00ED2F79" w:rsidRPr="0039123E">
              <w:rPr>
                <w:rFonts w:ascii="Arial" w:eastAsia="Wingdings 3" w:hAnsi="Arial"/>
              </w:rPr>
              <w:t>M</w:t>
            </w:r>
            <w:r w:rsidRPr="0039123E">
              <w:rPr>
                <w:rFonts w:ascii="Arial" w:eastAsia="Wingdings 3" w:hAnsi="Arial"/>
              </w:rPr>
              <w:t>**</w:t>
            </w:r>
          </w:p>
        </w:tc>
      </w:tr>
    </w:tbl>
    <w:p w14:paraId="553D025A" w14:textId="4258792D" w:rsidR="009D3CBA" w:rsidRPr="0004484D" w:rsidRDefault="009D3CBA" w:rsidP="009D3CBA">
      <w:pPr>
        <w:widowControl w:val="0"/>
        <w:spacing w:before="52" w:after="0" w:line="240" w:lineRule="auto"/>
        <w:rPr>
          <w:rStyle w:val="EndnoteReference"/>
          <w:rFonts w:eastAsia="Calibri"/>
        </w:rPr>
      </w:pPr>
      <w:r w:rsidRPr="0004484D">
        <w:rPr>
          <w:rStyle w:val="EndnoteReference"/>
          <w:rFonts w:eastAsia="Calibri"/>
        </w:rPr>
        <w:t xml:space="preserve">*Performance information for </w:t>
      </w:r>
      <w:r w:rsidR="00B93C9D" w:rsidRPr="0004484D">
        <w:rPr>
          <w:rStyle w:val="EndnoteReference"/>
          <w:rFonts w:eastAsia="Calibri"/>
        </w:rPr>
        <w:t xml:space="preserve">1 October </w:t>
      </w:r>
      <w:r w:rsidRPr="0004484D">
        <w:rPr>
          <w:rStyle w:val="EndnoteReference"/>
          <w:rFonts w:eastAsia="Calibri"/>
        </w:rPr>
        <w:t xml:space="preserve">2020 to </w:t>
      </w:r>
      <w:r w:rsidR="00B93C9D" w:rsidRPr="0004484D">
        <w:rPr>
          <w:rStyle w:val="EndnoteReference"/>
          <w:rFonts w:eastAsia="Calibri"/>
        </w:rPr>
        <w:t xml:space="preserve">31 March </w:t>
      </w:r>
      <w:r w:rsidRPr="0004484D">
        <w:rPr>
          <w:rStyle w:val="EndnoteReference"/>
          <w:rFonts w:eastAsia="Calibri"/>
        </w:rPr>
        <w:t>2021 reporting period</w:t>
      </w:r>
    </w:p>
    <w:p w14:paraId="55A4D78F" w14:textId="1036306C" w:rsidR="0098366D" w:rsidRPr="0046460B" w:rsidRDefault="00B93C9D" w:rsidP="0046460B">
      <w:pPr>
        <w:widowControl w:val="0"/>
        <w:spacing w:before="52" w:after="0" w:line="240" w:lineRule="auto"/>
        <w:rPr>
          <w:rStyle w:val="EndnoteReference"/>
          <w:rFonts w:eastAsia="Calibri"/>
        </w:rPr>
      </w:pPr>
      <w:r w:rsidRPr="0046460B">
        <w:rPr>
          <w:rStyle w:val="EndnoteReference"/>
          <w:rFonts w:eastAsia="Calibri"/>
        </w:rPr>
        <w:t>**</w:t>
      </w:r>
      <w:bookmarkStart w:id="62" w:name="_Hlk81494844"/>
      <w:r w:rsidR="00BC1A9F" w:rsidRPr="0046460B">
        <w:rPr>
          <w:rStyle w:val="EndnoteReference"/>
          <w:rFonts w:eastAsia="Calibri"/>
        </w:rPr>
        <w:t xml:space="preserve">for further information </w:t>
      </w:r>
      <w:r w:rsidRPr="0046460B">
        <w:rPr>
          <w:rStyle w:val="EndnoteReference"/>
          <w:rFonts w:eastAsia="Calibri"/>
        </w:rPr>
        <w:t xml:space="preserve">please refer to </w:t>
      </w:r>
      <w:r w:rsidR="00056D3A">
        <w:rPr>
          <w:rStyle w:val="EndnoteReference"/>
          <w:rFonts w:eastAsia="Calibri"/>
        </w:rPr>
        <w:t>A</w:t>
      </w:r>
      <w:r w:rsidRPr="0046460B">
        <w:rPr>
          <w:rStyle w:val="EndnoteReference"/>
          <w:rFonts w:eastAsia="Calibri"/>
        </w:rPr>
        <w:t>ppendix</w:t>
      </w:r>
      <w:r w:rsidR="0004484D" w:rsidRPr="0046460B">
        <w:rPr>
          <w:rStyle w:val="EndnoteReference"/>
          <w:rFonts w:eastAsia="Calibri"/>
        </w:rPr>
        <w:t xml:space="preserve"> </w:t>
      </w:r>
      <w:r w:rsidRPr="0046460B">
        <w:rPr>
          <w:rStyle w:val="EndnoteReference"/>
          <w:rFonts w:eastAsia="Calibri"/>
        </w:rPr>
        <w:t>4, note 9, page</w:t>
      </w:r>
      <w:r w:rsidR="0046460B" w:rsidRPr="0046460B">
        <w:rPr>
          <w:rStyle w:val="EndnoteReference"/>
          <w:rFonts w:eastAsia="Calibri"/>
        </w:rPr>
        <w:t xml:space="preserve"> 64</w:t>
      </w:r>
    </w:p>
    <w:bookmarkEnd w:id="62"/>
    <w:p w14:paraId="783B74F8" w14:textId="77777777" w:rsidR="0046460B" w:rsidRPr="0046460B" w:rsidRDefault="0046460B" w:rsidP="0046460B">
      <w:pPr>
        <w:widowControl w:val="0"/>
        <w:spacing w:before="52" w:after="0" w:line="240" w:lineRule="auto"/>
        <w:rPr>
          <w:rStyle w:val="EndnoteReference"/>
          <w:rFonts w:eastAsia="Calibri"/>
        </w:rPr>
      </w:pPr>
      <w:r w:rsidRPr="0046460B">
        <w:rPr>
          <w:rStyle w:val="EndnoteReference"/>
          <w:rFonts w:eastAsia="Calibri"/>
        </w:rPr>
        <w:t>Additionally, the former Department of Aboriginal and Torres Strait Islander Partnerships</w:t>
      </w:r>
    </w:p>
    <w:p w14:paraId="1C033C9E" w14:textId="77777777" w:rsidR="0046460B" w:rsidRPr="0046460B" w:rsidRDefault="0046460B" w:rsidP="0046460B">
      <w:pPr>
        <w:widowControl w:val="0"/>
        <w:spacing w:before="52" w:after="0" w:line="240" w:lineRule="auto"/>
        <w:rPr>
          <w:rStyle w:val="EndnoteReference"/>
          <w:rFonts w:eastAsia="Calibri"/>
        </w:rPr>
      </w:pPr>
      <w:r w:rsidRPr="0046460B">
        <w:rPr>
          <w:rStyle w:val="EndnoteReference"/>
          <w:rFonts w:eastAsia="Calibri"/>
        </w:rPr>
        <w:t>reported that the value of government procurement from Aboriginal and Torres Strait</w:t>
      </w:r>
    </w:p>
    <w:p w14:paraId="628C9A09" w14:textId="77777777" w:rsidR="0058799F" w:rsidRPr="0058799F" w:rsidRDefault="0046460B" w:rsidP="0058799F">
      <w:pPr>
        <w:widowControl w:val="0"/>
        <w:spacing w:before="52" w:after="0" w:line="240" w:lineRule="auto"/>
        <w:rPr>
          <w:rStyle w:val="EndnoteReference"/>
          <w:rFonts w:eastAsia="Calibri"/>
        </w:rPr>
      </w:pPr>
      <w:r w:rsidRPr="0046460B">
        <w:rPr>
          <w:rStyle w:val="EndnoteReference"/>
          <w:rFonts w:eastAsia="Calibri"/>
        </w:rPr>
        <w:t>Islander businesses, for the 1 July 2020 to 30 September 2020 period, was $78.82M.</w:t>
      </w:r>
      <w:r w:rsidR="0058799F" w:rsidRPr="0058799F">
        <w:rPr>
          <w:rStyle w:val="EndnoteReference"/>
          <w:rFonts w:eastAsia="Calibri"/>
        </w:rPr>
        <w:t xml:space="preserve"> </w:t>
      </w:r>
    </w:p>
    <w:p w14:paraId="1CF8B3F4" w14:textId="77777777" w:rsidR="0058799F" w:rsidRDefault="0058799F" w:rsidP="0058799F">
      <w:pPr>
        <w:widowControl w:val="0"/>
        <w:spacing w:before="52" w:after="0" w:line="240" w:lineRule="auto"/>
        <w:rPr>
          <w:rFonts w:eastAsia="Calibri"/>
        </w:rPr>
      </w:pPr>
      <w:r w:rsidRPr="0058799F">
        <w:rPr>
          <w:rStyle w:val="EndnoteReference"/>
          <w:rFonts w:eastAsia="Calibri"/>
        </w:rPr>
        <w:t xml:space="preserve">While reported as $78.82M in the Department of Aboriginal and Torres Strait Islander </w:t>
      </w:r>
    </w:p>
    <w:p w14:paraId="3415F419" w14:textId="77777777" w:rsidR="0058799F" w:rsidRDefault="0058799F" w:rsidP="0058799F">
      <w:pPr>
        <w:widowControl w:val="0"/>
        <w:spacing w:before="52" w:after="0" w:line="240" w:lineRule="auto"/>
        <w:rPr>
          <w:rFonts w:eastAsia="Calibri"/>
        </w:rPr>
      </w:pPr>
      <w:r w:rsidRPr="0058799F">
        <w:rPr>
          <w:rStyle w:val="EndnoteReference"/>
          <w:rFonts w:eastAsia="Calibri"/>
        </w:rPr>
        <w:t xml:space="preserve">Partnerships Final Report, this figure has been reviewed and amended to $79.23M. </w:t>
      </w:r>
    </w:p>
    <w:p w14:paraId="3B616525" w14:textId="0C1C487F" w:rsidR="0046460B" w:rsidRPr="0058799F" w:rsidRDefault="0058799F" w:rsidP="0039123E">
      <w:pPr>
        <w:widowControl w:val="0"/>
        <w:spacing w:before="52" w:after="240" w:line="240" w:lineRule="auto"/>
        <w:rPr>
          <w:rStyle w:val="EndnoteReference"/>
          <w:rFonts w:eastAsia="Calibri"/>
        </w:rPr>
      </w:pPr>
      <w:r w:rsidRPr="0058799F">
        <w:rPr>
          <w:rStyle w:val="EndnoteReference"/>
          <w:rFonts w:eastAsia="Calibri"/>
        </w:rPr>
        <w:t>This should be taken into consideration when collating full financial year figures.</w:t>
      </w:r>
    </w:p>
    <w:p w14:paraId="1E23E416" w14:textId="278E3742" w:rsidR="004E197D" w:rsidRPr="00E4449B" w:rsidRDefault="004E197D" w:rsidP="007524AB">
      <w:pPr>
        <w:pStyle w:val="Heading3"/>
      </w:pPr>
      <w:r w:rsidRPr="00E4449B">
        <w:t>Maximising job opportunities</w:t>
      </w:r>
      <w:bookmarkEnd w:id="60"/>
      <w:bookmarkEnd w:id="61"/>
    </w:p>
    <w:p w14:paraId="61F1ECA4" w14:textId="77777777" w:rsidR="004E197D" w:rsidRPr="00E4449B" w:rsidRDefault="004E197D" w:rsidP="002229E3">
      <w:pPr>
        <w:rPr>
          <w:lang w:eastAsia="en-US"/>
        </w:rPr>
      </w:pPr>
      <w:r w:rsidRPr="00E4449B">
        <w:rPr>
          <w:lang w:eastAsia="en-US"/>
        </w:rPr>
        <w:t>The department maximised employment opportunities for Aboriginal and Torres Strait Islander Queenslanders by:</w:t>
      </w:r>
    </w:p>
    <w:p w14:paraId="191048D1" w14:textId="77777777" w:rsidR="004E197D" w:rsidRPr="00E4449B" w:rsidRDefault="004E197D" w:rsidP="002229E3">
      <w:pPr>
        <w:pStyle w:val="ListBullet"/>
        <w:rPr>
          <w:lang w:eastAsia="en-US"/>
        </w:rPr>
      </w:pPr>
      <w:r w:rsidRPr="00E4449B">
        <w:rPr>
          <w:lang w:eastAsia="en-US"/>
        </w:rPr>
        <w:t>delivering the Youth Employment Program (YEP) and providing post-job placement support, and creating employment opportunities through social housing and infrastructure projects</w:t>
      </w:r>
    </w:p>
    <w:p w14:paraId="20C6295C" w14:textId="77777777" w:rsidR="004E197D" w:rsidRPr="00E4449B" w:rsidRDefault="004E197D" w:rsidP="002229E3">
      <w:pPr>
        <w:pStyle w:val="ListBullet"/>
        <w:rPr>
          <w:lang w:eastAsia="en-US"/>
        </w:rPr>
      </w:pPr>
      <w:r w:rsidRPr="00E4449B">
        <w:rPr>
          <w:lang w:eastAsia="en-US"/>
        </w:rPr>
        <w:t xml:space="preserve">supporting the Queensland Indigenous (Aboriginal and Torres Strait Islander) Procurement Policy (QIPP), that provides a whole-of-government framework to increase procurement from Aboriginal and Torres Strait Islander businesses. </w:t>
      </w:r>
    </w:p>
    <w:p w14:paraId="6D2D6112" w14:textId="4F7ABB3E" w:rsidR="004E197D" w:rsidRPr="002229E3" w:rsidRDefault="00E43202" w:rsidP="00D21656">
      <w:pPr>
        <w:pStyle w:val="Heading4"/>
      </w:pPr>
      <w:r>
        <w:br w:type="column"/>
      </w:r>
      <w:r w:rsidR="004E197D" w:rsidRPr="002229E3">
        <w:lastRenderedPageBreak/>
        <w:t>Key achievements</w:t>
      </w:r>
    </w:p>
    <w:p w14:paraId="6868D9B7" w14:textId="2D59129F" w:rsidR="00326C8A" w:rsidRPr="00E4449B" w:rsidRDefault="004E197D" w:rsidP="002229E3">
      <w:pPr>
        <w:rPr>
          <w:lang w:eastAsia="en-US"/>
        </w:rPr>
      </w:pPr>
      <w:r w:rsidRPr="00E4449B">
        <w:rPr>
          <w:lang w:eastAsia="en-US"/>
        </w:rPr>
        <w:t xml:space="preserve">During the reporting period 13 November 2020 </w:t>
      </w:r>
      <w:r w:rsidR="00E45BB1" w:rsidRPr="00E4449B">
        <w:rPr>
          <w:lang w:eastAsia="en-US"/>
        </w:rPr>
        <w:t>to</w:t>
      </w:r>
      <w:r w:rsidRPr="00E4449B">
        <w:rPr>
          <w:lang w:eastAsia="en-US"/>
        </w:rPr>
        <w:t xml:space="preserve"> 30 June 2021, which included the challenging impact of COVID-19 on employment and job opportunities, the department</w:t>
      </w:r>
      <w:r w:rsidR="00326C8A" w:rsidRPr="00E4449B">
        <w:rPr>
          <w:lang w:eastAsia="en-US"/>
        </w:rPr>
        <w:t>:</w:t>
      </w:r>
    </w:p>
    <w:p w14:paraId="00F1E7A7" w14:textId="4C6193A7" w:rsidR="004E197D" w:rsidRPr="00E4449B" w:rsidRDefault="004E197D" w:rsidP="002229E3">
      <w:pPr>
        <w:pStyle w:val="ListBullet"/>
        <w:rPr>
          <w:lang w:eastAsia="en-US"/>
        </w:rPr>
      </w:pPr>
      <w:r w:rsidRPr="00E4449B">
        <w:rPr>
          <w:lang w:eastAsia="en-US"/>
        </w:rPr>
        <w:t>facilitated 591 job placements for Aboriginal peoples and Torres Strait Islander peoples across Queensland. This included:</w:t>
      </w:r>
    </w:p>
    <w:p w14:paraId="5B50ABBC" w14:textId="77777777" w:rsidR="004E197D" w:rsidRPr="002229E3" w:rsidRDefault="004E197D" w:rsidP="007B1B10">
      <w:pPr>
        <w:pStyle w:val="ListBullet2"/>
        <w:numPr>
          <w:ilvl w:val="0"/>
          <w:numId w:val="17"/>
        </w:numPr>
      </w:pPr>
      <w:r w:rsidRPr="002229E3">
        <w:t xml:space="preserve">400 job placements for YEP candidates, including Year 12 graduates and other higher qualified and job-ready Aboriginal and Torres Strait Islander job seekers </w:t>
      </w:r>
    </w:p>
    <w:p w14:paraId="40D942BC" w14:textId="7A6B0318" w:rsidR="004E197D" w:rsidRDefault="004E197D" w:rsidP="00E43202">
      <w:pPr>
        <w:pStyle w:val="ListBullet2"/>
        <w:numPr>
          <w:ilvl w:val="0"/>
          <w:numId w:val="17"/>
        </w:numPr>
        <w:spacing w:after="200"/>
        <w:ind w:left="1077" w:hanging="357"/>
        <w:contextualSpacing w:val="0"/>
      </w:pPr>
      <w:r w:rsidRPr="002229E3">
        <w:t>191 job placements for Aboriginal and Torres Strait Islander job seekers in social housing and infrastructure projects across the National Partnership on Remote Housing communities, and other capital works in remote and discrete Aboriginal and Torres Strait Islander</w:t>
      </w:r>
      <w:r w:rsidR="00ED2F79">
        <w:t xml:space="preserve"> communities</w:t>
      </w:r>
      <w:r w:rsidRPr="002229E3">
        <w:t>.</w:t>
      </w:r>
    </w:p>
    <w:p w14:paraId="76629BC3" w14:textId="67ACA8E8" w:rsidR="0039123E" w:rsidRDefault="0039123E" w:rsidP="0039123E">
      <w:pPr>
        <w:pStyle w:val="ListBullet2"/>
        <w:spacing w:after="200"/>
        <w:contextualSpacing w:val="0"/>
        <w:rPr>
          <w:b/>
          <w:bCs/>
        </w:rPr>
      </w:pPr>
      <w:r w:rsidRPr="002229E3">
        <w:rPr>
          <w:b/>
          <w:bCs/>
        </w:rPr>
        <w:t>Performance measure</w:t>
      </w:r>
    </w:p>
    <w:p w14:paraId="65D8A84B" w14:textId="05CA3892" w:rsidR="0039123E" w:rsidRDefault="0039123E" w:rsidP="0039123E">
      <w:pPr>
        <w:pStyle w:val="ListBullet2"/>
        <w:spacing w:after="200"/>
        <w:contextualSpacing w:val="0"/>
      </w:pPr>
      <w:r w:rsidRPr="002229E3">
        <w:t>Number of job placements for Aboriginal peoples and Torres Strait Islander peoples facilitated by the department</w:t>
      </w:r>
    </w:p>
    <w:tbl>
      <w:tblPr>
        <w:tblStyle w:val="TableGrid1"/>
        <w:tblW w:w="0" w:type="auto"/>
        <w:tblInd w:w="100" w:type="dxa"/>
        <w:tblLayout w:type="fixed"/>
        <w:tblCellMar>
          <w:left w:w="0" w:type="dxa"/>
          <w:right w:w="0" w:type="dxa"/>
        </w:tblCellMar>
        <w:tblLook w:val="01E0" w:firstRow="1" w:lastRow="1" w:firstColumn="1" w:lastColumn="1" w:noHBand="0" w:noVBand="0"/>
      </w:tblPr>
      <w:tblGrid>
        <w:gridCol w:w="1426"/>
        <w:gridCol w:w="2048"/>
        <w:gridCol w:w="2145"/>
        <w:gridCol w:w="25"/>
      </w:tblGrid>
      <w:tr w:rsidR="004E197D" w:rsidRPr="002229E3" w14:paraId="6146C4F9" w14:textId="77777777" w:rsidTr="0039123E">
        <w:trPr>
          <w:trHeight w:val="20"/>
        </w:trPr>
        <w:tc>
          <w:tcPr>
            <w:tcW w:w="1426" w:type="dxa"/>
            <w:tcBorders>
              <w:top w:val="single" w:sz="4" w:space="0" w:color="auto"/>
              <w:left w:val="single" w:sz="4" w:space="0" w:color="auto"/>
              <w:bottom w:val="single" w:sz="4" w:space="0" w:color="auto"/>
              <w:right w:val="single" w:sz="4" w:space="0" w:color="auto"/>
            </w:tcBorders>
            <w:shd w:val="clear" w:color="auto" w:fill="EBEBEC"/>
            <w:vAlign w:val="center"/>
          </w:tcPr>
          <w:p w14:paraId="4C88723B" w14:textId="77777777" w:rsidR="004E197D" w:rsidRPr="0039123E" w:rsidRDefault="004E197D" w:rsidP="007744C2">
            <w:pPr>
              <w:rPr>
                <w:rFonts w:ascii="Arial" w:hAnsi="Arial"/>
                <w:b/>
                <w:bCs/>
              </w:rPr>
            </w:pPr>
            <w:r w:rsidRPr="0039123E">
              <w:rPr>
                <w:rFonts w:ascii="Arial" w:hAnsi="Arial"/>
                <w:b/>
                <w:bCs/>
              </w:rPr>
              <w:t>Year</w:t>
            </w:r>
          </w:p>
        </w:tc>
        <w:tc>
          <w:tcPr>
            <w:tcW w:w="2048" w:type="dxa"/>
            <w:tcBorders>
              <w:top w:val="single" w:sz="4" w:space="0" w:color="auto"/>
              <w:left w:val="single" w:sz="4" w:space="0" w:color="auto"/>
              <w:bottom w:val="single" w:sz="4" w:space="0" w:color="auto"/>
              <w:right w:val="single" w:sz="4" w:space="0" w:color="auto"/>
            </w:tcBorders>
            <w:shd w:val="clear" w:color="auto" w:fill="EBEBEC"/>
            <w:vAlign w:val="center"/>
          </w:tcPr>
          <w:p w14:paraId="2993186D" w14:textId="77777777" w:rsidR="004E197D" w:rsidRPr="0039123E" w:rsidRDefault="004E197D" w:rsidP="007744C2">
            <w:pPr>
              <w:rPr>
                <w:rFonts w:ascii="Arial" w:hAnsi="Arial"/>
                <w:b/>
                <w:bCs/>
              </w:rPr>
            </w:pPr>
            <w:r w:rsidRPr="0039123E">
              <w:rPr>
                <w:rFonts w:ascii="Arial" w:hAnsi="Arial"/>
                <w:b/>
                <w:bCs/>
              </w:rPr>
              <w:t>Target</w:t>
            </w:r>
          </w:p>
        </w:tc>
        <w:tc>
          <w:tcPr>
            <w:tcW w:w="2145" w:type="dxa"/>
            <w:tcBorders>
              <w:top w:val="single" w:sz="4" w:space="0" w:color="auto"/>
              <w:left w:val="single" w:sz="4" w:space="0" w:color="auto"/>
              <w:bottom w:val="single" w:sz="4" w:space="0" w:color="auto"/>
              <w:right w:val="single" w:sz="4" w:space="0" w:color="auto"/>
            </w:tcBorders>
            <w:shd w:val="clear" w:color="auto" w:fill="EBEBEC"/>
            <w:vAlign w:val="center"/>
          </w:tcPr>
          <w:p w14:paraId="6E3DECFD" w14:textId="2E2B30E3" w:rsidR="004E197D" w:rsidRPr="0039123E" w:rsidRDefault="004E197D" w:rsidP="007744C2">
            <w:pPr>
              <w:rPr>
                <w:rFonts w:ascii="Arial" w:hAnsi="Arial"/>
                <w:b/>
                <w:bCs/>
              </w:rPr>
            </w:pPr>
            <w:r w:rsidRPr="0039123E">
              <w:rPr>
                <w:rFonts w:ascii="Arial" w:hAnsi="Arial"/>
                <w:b/>
                <w:bCs/>
              </w:rPr>
              <w:t xml:space="preserve">Actual </w:t>
            </w:r>
          </w:p>
        </w:tc>
        <w:tc>
          <w:tcPr>
            <w:tcW w:w="25" w:type="dxa"/>
            <w:tcBorders>
              <w:top w:val="single" w:sz="2" w:space="0" w:color="939598"/>
              <w:left w:val="single" w:sz="4" w:space="0" w:color="auto"/>
              <w:bottom w:val="single" w:sz="2" w:space="0" w:color="939598"/>
              <w:right w:val="nil"/>
            </w:tcBorders>
            <w:shd w:val="clear" w:color="auto" w:fill="EBEBEC"/>
            <w:vAlign w:val="center"/>
          </w:tcPr>
          <w:p w14:paraId="58B98C43" w14:textId="415830D2" w:rsidR="004E197D" w:rsidRPr="002229E3" w:rsidRDefault="004E197D" w:rsidP="007744C2">
            <w:pPr>
              <w:rPr>
                <w:b/>
                <w:bCs/>
              </w:rPr>
            </w:pPr>
          </w:p>
        </w:tc>
      </w:tr>
      <w:tr w:rsidR="004E197D" w:rsidRPr="002229E3" w14:paraId="764C3E24" w14:textId="77777777" w:rsidTr="0039123E">
        <w:trPr>
          <w:trHeight w:val="20"/>
        </w:trPr>
        <w:tc>
          <w:tcPr>
            <w:tcW w:w="1426" w:type="dxa"/>
            <w:tcBorders>
              <w:top w:val="single" w:sz="4" w:space="0" w:color="auto"/>
              <w:left w:val="single" w:sz="4" w:space="0" w:color="auto"/>
              <w:bottom w:val="single" w:sz="4" w:space="0" w:color="auto"/>
              <w:right w:val="single" w:sz="4" w:space="0" w:color="auto"/>
            </w:tcBorders>
            <w:vAlign w:val="center"/>
          </w:tcPr>
          <w:p w14:paraId="63B0F98C" w14:textId="544DD2D7" w:rsidR="004E197D" w:rsidRPr="0039123E" w:rsidRDefault="004E197D" w:rsidP="007744C2">
            <w:pPr>
              <w:rPr>
                <w:rFonts w:ascii="Arial" w:hAnsi="Arial"/>
              </w:rPr>
            </w:pPr>
            <w:r w:rsidRPr="0039123E">
              <w:rPr>
                <w:rFonts w:ascii="Arial" w:hAnsi="Arial"/>
              </w:rPr>
              <w:t>2020–</w:t>
            </w:r>
            <w:r w:rsidR="001C6D95" w:rsidRPr="0039123E">
              <w:rPr>
                <w:rFonts w:ascii="Arial" w:hAnsi="Arial"/>
              </w:rPr>
              <w:t>20</w:t>
            </w:r>
            <w:r w:rsidRPr="0039123E">
              <w:rPr>
                <w:rFonts w:ascii="Arial" w:hAnsi="Arial"/>
              </w:rPr>
              <w:t>21*</w:t>
            </w:r>
          </w:p>
        </w:tc>
        <w:tc>
          <w:tcPr>
            <w:tcW w:w="2048" w:type="dxa"/>
            <w:tcBorders>
              <w:top w:val="single" w:sz="4" w:space="0" w:color="auto"/>
              <w:left w:val="single" w:sz="4" w:space="0" w:color="auto"/>
              <w:bottom w:val="single" w:sz="4" w:space="0" w:color="auto"/>
              <w:right w:val="single" w:sz="4" w:space="0" w:color="auto"/>
            </w:tcBorders>
            <w:vAlign w:val="center"/>
          </w:tcPr>
          <w:p w14:paraId="6E901EE8" w14:textId="42190125" w:rsidR="004E197D" w:rsidRPr="0039123E" w:rsidRDefault="004E197D" w:rsidP="007744C2">
            <w:pPr>
              <w:rPr>
                <w:rFonts w:ascii="Arial" w:hAnsi="Arial"/>
              </w:rPr>
            </w:pPr>
            <w:r w:rsidRPr="0039123E">
              <w:rPr>
                <w:rFonts w:ascii="Arial" w:hAnsi="Arial"/>
              </w:rPr>
              <w:t>720</w:t>
            </w:r>
          </w:p>
        </w:tc>
        <w:tc>
          <w:tcPr>
            <w:tcW w:w="2145" w:type="dxa"/>
            <w:tcBorders>
              <w:top w:val="single" w:sz="4" w:space="0" w:color="auto"/>
              <w:left w:val="single" w:sz="4" w:space="0" w:color="auto"/>
              <w:bottom w:val="single" w:sz="4" w:space="0" w:color="auto"/>
              <w:right w:val="single" w:sz="4" w:space="0" w:color="auto"/>
            </w:tcBorders>
            <w:vAlign w:val="center"/>
          </w:tcPr>
          <w:p w14:paraId="2A71C246" w14:textId="42F77B3E" w:rsidR="004E197D" w:rsidRPr="0039123E" w:rsidRDefault="004E197D" w:rsidP="007744C2">
            <w:pPr>
              <w:rPr>
                <w:rFonts w:ascii="Arial" w:hAnsi="Arial"/>
              </w:rPr>
            </w:pPr>
            <w:r w:rsidRPr="0039123E">
              <w:rPr>
                <w:rFonts w:ascii="Arial" w:hAnsi="Arial"/>
              </w:rPr>
              <w:t>591</w:t>
            </w:r>
            <w:r w:rsidR="00147279" w:rsidRPr="0039123E">
              <w:rPr>
                <w:rFonts w:ascii="Arial" w:hAnsi="Arial"/>
              </w:rPr>
              <w:t>*</w:t>
            </w:r>
          </w:p>
        </w:tc>
        <w:tc>
          <w:tcPr>
            <w:tcW w:w="25" w:type="dxa"/>
            <w:tcBorders>
              <w:top w:val="single" w:sz="2" w:space="0" w:color="939598"/>
              <w:left w:val="single" w:sz="4" w:space="0" w:color="auto"/>
              <w:bottom w:val="single" w:sz="2" w:space="0" w:color="939598"/>
              <w:right w:val="nil"/>
            </w:tcBorders>
            <w:vAlign w:val="center"/>
          </w:tcPr>
          <w:p w14:paraId="6936CC65" w14:textId="6F55C293" w:rsidR="004E197D" w:rsidRPr="002229E3" w:rsidRDefault="004E197D" w:rsidP="007744C2">
            <w:pPr>
              <w:rPr>
                <w:rFonts w:eastAsia="Wingdings 3"/>
              </w:rPr>
            </w:pPr>
          </w:p>
        </w:tc>
      </w:tr>
    </w:tbl>
    <w:p w14:paraId="5A448DAE" w14:textId="4E7D7707" w:rsidR="004D0CFD" w:rsidRDefault="004D0CFD" w:rsidP="003A6A4E">
      <w:pPr>
        <w:pStyle w:val="ListBullet"/>
        <w:numPr>
          <w:ilvl w:val="0"/>
          <w:numId w:val="0"/>
        </w:numPr>
        <w:spacing w:after="0"/>
        <w:ind w:left="357" w:hanging="357"/>
        <w:rPr>
          <w:sz w:val="18"/>
          <w:szCs w:val="18"/>
        </w:rPr>
      </w:pPr>
      <w:bookmarkStart w:id="63" w:name="_Toc67046686"/>
      <w:bookmarkStart w:id="64" w:name="_Toc78287380"/>
      <w:bookmarkStart w:id="65" w:name="_Toc78355787"/>
      <w:r w:rsidRPr="0004484D">
        <w:rPr>
          <w:sz w:val="18"/>
          <w:szCs w:val="18"/>
        </w:rPr>
        <w:t xml:space="preserve">* </w:t>
      </w:r>
      <w:r w:rsidR="0004484D" w:rsidRPr="0004484D">
        <w:rPr>
          <w:sz w:val="18"/>
          <w:szCs w:val="18"/>
        </w:rPr>
        <w:t>Performance information for 13</w:t>
      </w:r>
      <w:r w:rsidRPr="0004484D">
        <w:rPr>
          <w:sz w:val="18"/>
          <w:szCs w:val="18"/>
        </w:rPr>
        <w:t xml:space="preserve"> November 2020 to 30 June 2021</w:t>
      </w:r>
      <w:r w:rsidR="0004484D" w:rsidRPr="0004484D">
        <w:rPr>
          <w:sz w:val="18"/>
          <w:szCs w:val="18"/>
        </w:rPr>
        <w:t xml:space="preserve"> reporting period</w:t>
      </w:r>
      <w:r w:rsidRPr="0004484D">
        <w:rPr>
          <w:sz w:val="18"/>
          <w:szCs w:val="18"/>
        </w:rPr>
        <w:t>.</w:t>
      </w:r>
    </w:p>
    <w:p w14:paraId="0181649E" w14:textId="77777777" w:rsidR="00BC2FDF" w:rsidRPr="00BC2FDF" w:rsidRDefault="00BC2FDF" w:rsidP="00BC2FDF">
      <w:pPr>
        <w:pStyle w:val="ListBullet"/>
        <w:numPr>
          <w:ilvl w:val="0"/>
          <w:numId w:val="0"/>
        </w:numPr>
        <w:spacing w:after="0"/>
        <w:ind w:left="357" w:hanging="357"/>
        <w:rPr>
          <w:sz w:val="18"/>
          <w:szCs w:val="18"/>
        </w:rPr>
      </w:pPr>
      <w:r w:rsidRPr="00BC2FDF">
        <w:rPr>
          <w:sz w:val="18"/>
          <w:szCs w:val="18"/>
        </w:rPr>
        <w:t>Additionally, the former Department of Aboriginal and Torres Strait Islander Partnerships</w:t>
      </w:r>
    </w:p>
    <w:p w14:paraId="5BFDBD91" w14:textId="77777777" w:rsidR="00BC2FDF" w:rsidRPr="00BC2FDF" w:rsidRDefault="00BC2FDF" w:rsidP="00BC2FDF">
      <w:pPr>
        <w:pStyle w:val="ListBullet"/>
        <w:numPr>
          <w:ilvl w:val="0"/>
          <w:numId w:val="0"/>
        </w:numPr>
        <w:spacing w:after="0"/>
        <w:ind w:left="357" w:hanging="357"/>
        <w:rPr>
          <w:sz w:val="18"/>
          <w:szCs w:val="18"/>
        </w:rPr>
      </w:pPr>
      <w:r w:rsidRPr="00BC2FDF">
        <w:rPr>
          <w:sz w:val="18"/>
          <w:szCs w:val="18"/>
        </w:rPr>
        <w:t>reported that the number of job placements for Aboriginal peoples and Torres Strait</w:t>
      </w:r>
    </w:p>
    <w:p w14:paraId="305E380C" w14:textId="77777777" w:rsidR="00BC2FDF" w:rsidRPr="00BC2FDF" w:rsidRDefault="00BC2FDF" w:rsidP="00BC2FDF">
      <w:pPr>
        <w:pStyle w:val="ListBullet"/>
        <w:numPr>
          <w:ilvl w:val="0"/>
          <w:numId w:val="0"/>
        </w:numPr>
        <w:spacing w:after="0"/>
        <w:ind w:left="357" w:hanging="357"/>
        <w:rPr>
          <w:sz w:val="18"/>
          <w:szCs w:val="18"/>
        </w:rPr>
      </w:pPr>
      <w:r w:rsidRPr="00BC2FDF">
        <w:rPr>
          <w:sz w:val="18"/>
          <w:szCs w:val="18"/>
        </w:rPr>
        <w:t>Islander peoples facilitated by the department, for the 1 July 2020 to 31 October 2020</w:t>
      </w:r>
    </w:p>
    <w:p w14:paraId="241688CD" w14:textId="2998F788" w:rsidR="00FE102A" w:rsidRPr="00BC2FDF" w:rsidRDefault="00BC2FDF" w:rsidP="00E43202">
      <w:pPr>
        <w:pStyle w:val="ListBullet"/>
        <w:numPr>
          <w:ilvl w:val="0"/>
          <w:numId w:val="0"/>
        </w:numPr>
        <w:spacing w:after="240"/>
        <w:ind w:left="357" w:hanging="357"/>
        <w:contextualSpacing w:val="0"/>
        <w:rPr>
          <w:sz w:val="18"/>
          <w:szCs w:val="18"/>
        </w:rPr>
      </w:pPr>
      <w:proofErr w:type="gramStart"/>
      <w:r w:rsidRPr="00BC2FDF">
        <w:rPr>
          <w:sz w:val="18"/>
          <w:szCs w:val="18"/>
        </w:rPr>
        <w:t>period,</w:t>
      </w:r>
      <w:proofErr w:type="gramEnd"/>
      <w:r w:rsidRPr="00BC2FDF">
        <w:rPr>
          <w:sz w:val="18"/>
          <w:szCs w:val="18"/>
        </w:rPr>
        <w:t xml:space="preserve"> was 232.</w:t>
      </w:r>
    </w:p>
    <w:p w14:paraId="47DF4BE7" w14:textId="6F43288C" w:rsidR="004E197D" w:rsidRPr="00E4449B" w:rsidRDefault="004E197D" w:rsidP="007524AB">
      <w:pPr>
        <w:pStyle w:val="Heading3"/>
      </w:pPr>
      <w:r w:rsidRPr="00E4449B">
        <w:t>Youth Employment Program candidates</w:t>
      </w:r>
      <w:bookmarkEnd w:id="63"/>
      <w:bookmarkEnd w:id="64"/>
      <w:bookmarkEnd w:id="65"/>
    </w:p>
    <w:p w14:paraId="5C6FC3A5" w14:textId="77777777" w:rsidR="004E197D" w:rsidRPr="00E4449B" w:rsidRDefault="004E197D" w:rsidP="007744C2">
      <w:pPr>
        <w:rPr>
          <w:lang w:eastAsia="en-US"/>
        </w:rPr>
      </w:pPr>
      <w:r w:rsidRPr="00E4449B">
        <w:rPr>
          <w:lang w:eastAsia="en-US"/>
        </w:rPr>
        <w:t>The department’s Youth Employment Program works directly with school leavers and other qualified people to seek pathways to higher education, training and employment. The Youth Employment Program assists young Aboriginal peoples and Torres Strait Islander peoples finishing high school and looking for work—or considering further education—to access job and study networks. This is undertaken by offering pre-employment activities including resumé, application and interview preparation, and post-placement support. Support is also provided to Aboriginal peoples and Torres Strait Islander peoples with disability, older Aboriginal and Torres Strait Islander Queenslanders who need assistance to engage or re-engage with employment or training, and young people who have disengaged from school, training or work.</w:t>
      </w:r>
    </w:p>
    <w:p w14:paraId="46B16BE7" w14:textId="77777777" w:rsidR="004E197D" w:rsidRPr="002229E3" w:rsidRDefault="004E197D" w:rsidP="00D21656">
      <w:pPr>
        <w:pStyle w:val="Heading4"/>
      </w:pPr>
      <w:r w:rsidRPr="002229E3">
        <w:t>Key achievements</w:t>
      </w:r>
    </w:p>
    <w:p w14:paraId="28EAFE62" w14:textId="657858FF" w:rsidR="00572F6E" w:rsidRPr="00E4449B" w:rsidRDefault="004E197D" w:rsidP="007744C2">
      <w:pPr>
        <w:rPr>
          <w:rFonts w:eastAsia="Calibri"/>
          <w:lang w:val="en-US" w:eastAsia="en-US"/>
        </w:rPr>
      </w:pPr>
      <w:r w:rsidRPr="00E4449B">
        <w:rPr>
          <w:rFonts w:eastAsia="Calibri"/>
          <w:lang w:val="en-US" w:eastAsia="en-US"/>
        </w:rPr>
        <w:t>During the reporting period</w:t>
      </w:r>
      <w:r w:rsidR="00572F6E" w:rsidRPr="00E4449B">
        <w:rPr>
          <w:rFonts w:eastAsia="Calibri"/>
          <w:lang w:val="en-US" w:eastAsia="en-US"/>
        </w:rPr>
        <w:t xml:space="preserve"> 13 November 2020 to 30 June 2021</w:t>
      </w:r>
      <w:r w:rsidR="00326C8A" w:rsidRPr="00E4449B">
        <w:rPr>
          <w:rFonts w:eastAsia="Calibri"/>
          <w:lang w:val="en-US" w:eastAsia="en-US"/>
        </w:rPr>
        <w:t>,</w:t>
      </w:r>
      <w:r w:rsidRPr="00E4449B">
        <w:rPr>
          <w:rFonts w:eastAsia="Calibri"/>
          <w:lang w:val="en-US" w:eastAsia="en-US"/>
        </w:rPr>
        <w:t xml:space="preserve"> the </w:t>
      </w:r>
      <w:r w:rsidR="00326C8A" w:rsidRPr="00E4449B">
        <w:rPr>
          <w:rFonts w:eastAsia="Calibri"/>
          <w:lang w:val="en-US" w:eastAsia="en-US"/>
        </w:rPr>
        <w:t>department</w:t>
      </w:r>
      <w:r w:rsidR="002A1D7A" w:rsidRPr="00E4449B">
        <w:rPr>
          <w:rFonts w:eastAsia="Calibri"/>
          <w:lang w:val="en-US" w:eastAsia="en-US"/>
        </w:rPr>
        <w:t xml:space="preserve"> facilitated</w:t>
      </w:r>
      <w:r w:rsidR="00572F6E" w:rsidRPr="00E4449B">
        <w:rPr>
          <w:rFonts w:eastAsia="Calibri"/>
          <w:lang w:val="en-US" w:eastAsia="en-US"/>
        </w:rPr>
        <w:t>:</w:t>
      </w:r>
    </w:p>
    <w:p w14:paraId="5C4F4043" w14:textId="07ACB289" w:rsidR="004E197D" w:rsidRPr="00E4449B" w:rsidRDefault="004E197D" w:rsidP="002229E3">
      <w:pPr>
        <w:pStyle w:val="ListBullet"/>
        <w:rPr>
          <w:rFonts w:eastAsia="Calibri"/>
          <w:lang w:val="en-US" w:eastAsia="en-US"/>
        </w:rPr>
      </w:pPr>
      <w:r w:rsidRPr="00E4449B">
        <w:rPr>
          <w:rFonts w:eastAsia="Calibri"/>
          <w:lang w:val="en-US" w:eastAsia="en-US"/>
        </w:rPr>
        <w:t>400 job placements</w:t>
      </w:r>
      <w:bookmarkStart w:id="66" w:name="_Hlk78989884"/>
      <w:r w:rsidRPr="00E4449B">
        <w:rPr>
          <w:rFonts w:eastAsia="Calibri"/>
          <w:lang w:val="en-US" w:eastAsia="en-US"/>
        </w:rPr>
        <w:t xml:space="preserve"> </w:t>
      </w:r>
      <w:bookmarkEnd w:id="66"/>
      <w:r w:rsidRPr="00E4449B">
        <w:rPr>
          <w:rFonts w:eastAsia="Calibri"/>
          <w:lang w:val="en-US" w:eastAsia="en-US"/>
        </w:rPr>
        <w:t xml:space="preserve">for </w:t>
      </w:r>
      <w:r w:rsidR="000933CC" w:rsidRPr="00E4449B">
        <w:rPr>
          <w:rFonts w:eastAsia="Calibri"/>
          <w:lang w:val="en-US" w:eastAsia="en-US"/>
        </w:rPr>
        <w:t>Youth Employment Program</w:t>
      </w:r>
      <w:r w:rsidRPr="00E4449B">
        <w:rPr>
          <w:rFonts w:eastAsia="Calibri"/>
          <w:lang w:val="en-US" w:eastAsia="en-US"/>
        </w:rPr>
        <w:t xml:space="preserve"> candidates, including Year 12 graduates and other higher qualified and job-ready Aboriginal and Torres Strait Islander job seekers </w:t>
      </w:r>
    </w:p>
    <w:p w14:paraId="6761448C" w14:textId="59F21050" w:rsidR="004E197D" w:rsidRPr="00E4449B" w:rsidRDefault="004E197D" w:rsidP="002229E3">
      <w:pPr>
        <w:pStyle w:val="ListBullet"/>
        <w:rPr>
          <w:lang w:eastAsia="en-US"/>
        </w:rPr>
      </w:pPr>
      <w:r w:rsidRPr="00E4449B">
        <w:rPr>
          <w:lang w:eastAsia="en-US"/>
        </w:rPr>
        <w:t>83.8 per cent of Aboriginal and Torres Strait Islander Queenslanders placed into employment through the Youth Employment Program, were still employed three months later</w:t>
      </w:r>
    </w:p>
    <w:p w14:paraId="198F9284" w14:textId="3B02B6CF" w:rsidR="004E197D" w:rsidRPr="00E4449B" w:rsidRDefault="004E197D" w:rsidP="002229E3">
      <w:pPr>
        <w:pStyle w:val="ListBullet"/>
        <w:rPr>
          <w:lang w:eastAsia="en-US"/>
        </w:rPr>
      </w:pPr>
      <w:bookmarkStart w:id="67" w:name="_Hlk80011813"/>
      <w:r w:rsidRPr="00E4449B">
        <w:rPr>
          <w:lang w:eastAsia="en-US"/>
        </w:rPr>
        <w:t>61.1 per cent of Aboriginal and Torres Strait Islander Queenslanders placed into employment through the Youth Employment Program, were still employed six months later</w:t>
      </w:r>
      <w:bookmarkEnd w:id="67"/>
      <w:r w:rsidRPr="00E4449B">
        <w:rPr>
          <w:lang w:eastAsia="en-US"/>
        </w:rPr>
        <w:t>.</w:t>
      </w:r>
    </w:p>
    <w:p w14:paraId="6C1F35B1" w14:textId="685B6F10" w:rsidR="004E197D" w:rsidRPr="00E4449B" w:rsidRDefault="004E197D" w:rsidP="007524AB">
      <w:pPr>
        <w:pStyle w:val="Heading3"/>
      </w:pPr>
      <w:bookmarkStart w:id="68" w:name="_Toc67046688"/>
      <w:bookmarkStart w:id="69" w:name="_Toc78287382"/>
      <w:bookmarkStart w:id="70" w:name="_Toc78355789"/>
      <w:r w:rsidRPr="00E4449B">
        <w:t>Whole-of-government Integrated Capital Works program</w:t>
      </w:r>
      <w:bookmarkEnd w:id="68"/>
      <w:bookmarkEnd w:id="69"/>
      <w:bookmarkEnd w:id="70"/>
    </w:p>
    <w:p w14:paraId="045BB659" w14:textId="77777777" w:rsidR="004E197D" w:rsidRPr="00E4449B" w:rsidRDefault="004E197D" w:rsidP="007744C2">
      <w:pPr>
        <w:rPr>
          <w:rFonts w:eastAsia="Calibri"/>
          <w:lang w:val="en-US" w:eastAsia="en-US"/>
        </w:rPr>
      </w:pPr>
      <w:r w:rsidRPr="00E4449B">
        <w:rPr>
          <w:rFonts w:eastAsia="Calibri"/>
          <w:spacing w:val="-1"/>
          <w:lang w:val="en-US" w:eastAsia="en-US"/>
        </w:rPr>
        <w:t>The</w:t>
      </w:r>
      <w:r w:rsidRPr="00E4449B">
        <w:rPr>
          <w:rFonts w:eastAsia="Calibri"/>
          <w:spacing w:val="-16"/>
          <w:lang w:val="en-US" w:eastAsia="en-US"/>
        </w:rPr>
        <w:t xml:space="preserve"> </w:t>
      </w:r>
      <w:r w:rsidRPr="00E4449B">
        <w:rPr>
          <w:rFonts w:eastAsia="Calibri"/>
          <w:lang w:val="en-US" w:eastAsia="en-US"/>
        </w:rPr>
        <w:t>Integr</w:t>
      </w:r>
      <w:r w:rsidRPr="00E4449B">
        <w:rPr>
          <w:rFonts w:eastAsia="Calibri"/>
          <w:spacing w:val="-1"/>
          <w:lang w:val="en-US" w:eastAsia="en-US"/>
        </w:rPr>
        <w:t>ated</w:t>
      </w:r>
      <w:r w:rsidRPr="00E4449B">
        <w:rPr>
          <w:rFonts w:eastAsia="Calibri"/>
          <w:spacing w:val="-16"/>
          <w:lang w:val="en-US" w:eastAsia="en-US"/>
        </w:rPr>
        <w:t xml:space="preserve"> </w:t>
      </w:r>
      <w:r w:rsidRPr="00E4449B">
        <w:rPr>
          <w:rFonts w:eastAsia="Calibri"/>
          <w:spacing w:val="-1"/>
          <w:lang w:val="en-US" w:eastAsia="en-US"/>
        </w:rPr>
        <w:t>Cap</w:t>
      </w:r>
      <w:r w:rsidRPr="00E4449B">
        <w:rPr>
          <w:rFonts w:eastAsia="Calibri"/>
          <w:lang w:val="en-US" w:eastAsia="en-US"/>
        </w:rPr>
        <w:t>it</w:t>
      </w:r>
      <w:r w:rsidRPr="00E4449B">
        <w:rPr>
          <w:rFonts w:eastAsia="Calibri"/>
          <w:spacing w:val="-1"/>
          <w:lang w:val="en-US" w:eastAsia="en-US"/>
        </w:rPr>
        <w:t>al</w:t>
      </w:r>
      <w:r w:rsidRPr="00E4449B">
        <w:rPr>
          <w:rFonts w:eastAsia="Calibri"/>
          <w:spacing w:val="-18"/>
          <w:lang w:val="en-US" w:eastAsia="en-US"/>
        </w:rPr>
        <w:t xml:space="preserve"> </w:t>
      </w:r>
      <w:r w:rsidRPr="00E4449B">
        <w:rPr>
          <w:rFonts w:eastAsia="Calibri"/>
          <w:spacing w:val="-3"/>
          <w:lang w:val="en-US" w:eastAsia="en-US"/>
        </w:rPr>
        <w:t>Work</w:t>
      </w:r>
      <w:r w:rsidRPr="00E4449B">
        <w:rPr>
          <w:rFonts w:eastAsia="Calibri"/>
          <w:lang w:val="en-US" w:eastAsia="en-US"/>
        </w:rPr>
        <w:t>s</w:t>
      </w:r>
      <w:r w:rsidRPr="00E4449B">
        <w:rPr>
          <w:rFonts w:eastAsia="Calibri"/>
          <w:spacing w:val="-17"/>
          <w:lang w:val="en-US" w:eastAsia="en-US"/>
        </w:rPr>
        <w:t xml:space="preserve"> </w:t>
      </w:r>
      <w:r w:rsidRPr="00E4449B">
        <w:rPr>
          <w:rFonts w:eastAsia="Calibri"/>
          <w:lang w:val="en-US" w:eastAsia="en-US"/>
        </w:rPr>
        <w:t>progr</w:t>
      </w:r>
      <w:r w:rsidRPr="00E4449B">
        <w:rPr>
          <w:rFonts w:eastAsia="Calibri"/>
          <w:spacing w:val="-1"/>
          <w:lang w:val="en-US" w:eastAsia="en-US"/>
        </w:rPr>
        <w:t>am</w:t>
      </w:r>
      <w:r w:rsidRPr="00E4449B">
        <w:rPr>
          <w:rFonts w:eastAsia="Calibri"/>
          <w:spacing w:val="-15"/>
          <w:lang w:val="en-US" w:eastAsia="en-US"/>
        </w:rPr>
        <w:t xml:space="preserve"> </w:t>
      </w:r>
      <w:r w:rsidRPr="00E4449B">
        <w:rPr>
          <w:rFonts w:eastAsia="Calibri"/>
          <w:spacing w:val="-1"/>
          <w:lang w:val="en-US" w:eastAsia="en-US"/>
        </w:rPr>
        <w:t>inc</w:t>
      </w:r>
      <w:r w:rsidRPr="00E4449B">
        <w:rPr>
          <w:rFonts w:eastAsia="Calibri"/>
          <w:lang w:val="en-US" w:eastAsia="en-US"/>
        </w:rPr>
        <w:t>re</w:t>
      </w:r>
      <w:r w:rsidRPr="00E4449B">
        <w:rPr>
          <w:rFonts w:eastAsia="Calibri"/>
          <w:spacing w:val="-1"/>
          <w:lang w:val="en-US" w:eastAsia="en-US"/>
        </w:rPr>
        <w:t>ases</w:t>
      </w:r>
      <w:r w:rsidRPr="00E4449B">
        <w:rPr>
          <w:rFonts w:eastAsia="Calibri"/>
          <w:spacing w:val="-17"/>
          <w:lang w:val="en-US" w:eastAsia="en-US"/>
        </w:rPr>
        <w:t xml:space="preserve"> </w:t>
      </w:r>
      <w:r w:rsidRPr="00E4449B">
        <w:rPr>
          <w:rFonts w:eastAsia="Calibri"/>
          <w:spacing w:val="-1"/>
          <w:lang w:val="en-US" w:eastAsia="en-US"/>
        </w:rPr>
        <w:t>emplo</w:t>
      </w:r>
      <w:r w:rsidRPr="00E4449B">
        <w:rPr>
          <w:rFonts w:eastAsia="Calibri"/>
          <w:lang w:val="en-US" w:eastAsia="en-US"/>
        </w:rPr>
        <w:t>yment,</w:t>
      </w:r>
      <w:r w:rsidRPr="00E4449B">
        <w:rPr>
          <w:rFonts w:eastAsia="Calibri"/>
          <w:spacing w:val="-9"/>
          <w:lang w:val="en-US" w:eastAsia="en-US"/>
        </w:rPr>
        <w:t xml:space="preserve"> </w:t>
      </w:r>
      <w:r w:rsidRPr="00E4449B">
        <w:rPr>
          <w:rFonts w:eastAsia="Calibri"/>
          <w:lang w:val="en-US" w:eastAsia="en-US"/>
        </w:rPr>
        <w:t>tr</w:t>
      </w:r>
      <w:r w:rsidRPr="00E4449B">
        <w:rPr>
          <w:rFonts w:eastAsia="Calibri"/>
          <w:spacing w:val="-1"/>
          <w:lang w:val="en-US" w:eastAsia="en-US"/>
        </w:rPr>
        <w:t>aining</w:t>
      </w:r>
      <w:r w:rsidRPr="00E4449B">
        <w:rPr>
          <w:rFonts w:eastAsia="Calibri"/>
          <w:spacing w:val="-9"/>
          <w:lang w:val="en-US" w:eastAsia="en-US"/>
        </w:rPr>
        <w:t xml:space="preserve"> </w:t>
      </w:r>
      <w:r w:rsidRPr="00E4449B">
        <w:rPr>
          <w:rFonts w:eastAsia="Calibri"/>
          <w:lang w:val="en-US" w:eastAsia="en-US"/>
        </w:rPr>
        <w:t>and</w:t>
      </w:r>
      <w:r w:rsidRPr="00E4449B">
        <w:rPr>
          <w:rFonts w:eastAsia="Calibri"/>
          <w:spacing w:val="-10"/>
          <w:lang w:val="en-US" w:eastAsia="en-US"/>
        </w:rPr>
        <w:t xml:space="preserve"> </w:t>
      </w:r>
      <w:r w:rsidRPr="00E4449B">
        <w:rPr>
          <w:rFonts w:eastAsia="Calibri"/>
          <w:spacing w:val="-1"/>
          <w:lang w:val="en-US" w:eastAsia="en-US"/>
        </w:rPr>
        <w:t>business</w:t>
      </w:r>
      <w:r w:rsidRPr="00E4449B">
        <w:rPr>
          <w:rFonts w:eastAsia="Calibri"/>
          <w:spacing w:val="-10"/>
          <w:lang w:val="en-US" w:eastAsia="en-US"/>
        </w:rPr>
        <w:t xml:space="preserve"> </w:t>
      </w:r>
      <w:r w:rsidRPr="00E4449B">
        <w:rPr>
          <w:rFonts w:eastAsia="Calibri"/>
          <w:lang w:val="en-US" w:eastAsia="en-US"/>
        </w:rPr>
        <w:t>out</w:t>
      </w:r>
      <w:r w:rsidRPr="00E4449B">
        <w:rPr>
          <w:rFonts w:eastAsia="Calibri"/>
          <w:spacing w:val="-1"/>
          <w:lang w:val="en-US" w:eastAsia="en-US"/>
        </w:rPr>
        <w:t>c</w:t>
      </w:r>
      <w:r w:rsidRPr="00E4449B">
        <w:rPr>
          <w:rFonts w:eastAsia="Calibri"/>
          <w:lang w:val="en-US" w:eastAsia="en-US"/>
        </w:rPr>
        <w:t>ome</w:t>
      </w:r>
      <w:r w:rsidRPr="00E4449B">
        <w:rPr>
          <w:rFonts w:eastAsia="Calibri"/>
          <w:spacing w:val="-1"/>
          <w:lang w:val="en-US" w:eastAsia="en-US"/>
        </w:rPr>
        <w:t>s</w:t>
      </w:r>
      <w:r w:rsidRPr="00E4449B">
        <w:rPr>
          <w:rFonts w:eastAsia="Calibri"/>
          <w:spacing w:val="-11"/>
          <w:lang w:val="en-US" w:eastAsia="en-US"/>
        </w:rPr>
        <w:t xml:space="preserve"> </w:t>
      </w:r>
      <w:r w:rsidRPr="00E4449B">
        <w:rPr>
          <w:rFonts w:eastAsia="Calibri"/>
          <w:spacing w:val="-1"/>
          <w:lang w:val="en-US" w:eastAsia="en-US"/>
        </w:rPr>
        <w:t>b</w:t>
      </w:r>
      <w:r w:rsidRPr="00E4449B">
        <w:rPr>
          <w:rFonts w:eastAsia="Calibri"/>
          <w:lang w:val="en-US" w:eastAsia="en-US"/>
        </w:rPr>
        <w:t>y</w:t>
      </w:r>
      <w:r w:rsidRPr="00E4449B">
        <w:rPr>
          <w:rFonts w:eastAsia="Calibri"/>
          <w:spacing w:val="-10"/>
          <w:lang w:val="en-US" w:eastAsia="en-US"/>
        </w:rPr>
        <w:t xml:space="preserve"> </w:t>
      </w:r>
      <w:r w:rsidRPr="00E4449B">
        <w:rPr>
          <w:rFonts w:eastAsia="Calibri"/>
          <w:lang w:val="en-US" w:eastAsia="en-US"/>
        </w:rPr>
        <w:t>coordinating mainten</w:t>
      </w:r>
      <w:r w:rsidRPr="00E4449B">
        <w:rPr>
          <w:rFonts w:eastAsia="Calibri"/>
          <w:spacing w:val="-1"/>
          <w:lang w:val="en-US" w:eastAsia="en-US"/>
        </w:rPr>
        <w:t>anc</w:t>
      </w:r>
      <w:r w:rsidRPr="00E4449B">
        <w:rPr>
          <w:rFonts w:eastAsia="Calibri"/>
          <w:lang w:val="en-US" w:eastAsia="en-US"/>
        </w:rPr>
        <w:t>e,</w:t>
      </w:r>
      <w:r w:rsidRPr="00E4449B">
        <w:rPr>
          <w:rFonts w:eastAsia="Calibri"/>
          <w:spacing w:val="-16"/>
          <w:lang w:val="en-US" w:eastAsia="en-US"/>
        </w:rPr>
        <w:t xml:space="preserve"> </w:t>
      </w:r>
      <w:r w:rsidRPr="00E4449B">
        <w:rPr>
          <w:rFonts w:eastAsia="Calibri"/>
          <w:spacing w:val="-1"/>
          <w:lang w:val="en-US" w:eastAsia="en-US"/>
        </w:rPr>
        <w:t>up</w:t>
      </w:r>
      <w:r w:rsidRPr="00E4449B">
        <w:rPr>
          <w:rFonts w:eastAsia="Calibri"/>
          <w:lang w:val="en-US" w:eastAsia="en-US"/>
        </w:rPr>
        <w:t>gr</w:t>
      </w:r>
      <w:r w:rsidRPr="00E4449B">
        <w:rPr>
          <w:rFonts w:eastAsia="Calibri"/>
          <w:spacing w:val="-1"/>
          <w:lang w:val="en-US" w:eastAsia="en-US"/>
        </w:rPr>
        <w:t>ad</w:t>
      </w:r>
      <w:r w:rsidRPr="00E4449B">
        <w:rPr>
          <w:rFonts w:eastAsia="Calibri"/>
          <w:lang w:val="en-US" w:eastAsia="en-US"/>
        </w:rPr>
        <w:t>e</w:t>
      </w:r>
      <w:r w:rsidRPr="00E4449B">
        <w:rPr>
          <w:rFonts w:eastAsia="Calibri"/>
          <w:spacing w:val="-1"/>
          <w:lang w:val="en-US" w:eastAsia="en-US"/>
        </w:rPr>
        <w:t>s</w:t>
      </w:r>
      <w:r w:rsidRPr="00E4449B">
        <w:rPr>
          <w:rFonts w:eastAsia="Calibri"/>
          <w:spacing w:val="-16"/>
          <w:lang w:val="en-US" w:eastAsia="en-US"/>
        </w:rPr>
        <w:t xml:space="preserve"> </w:t>
      </w:r>
      <w:r w:rsidRPr="00E4449B">
        <w:rPr>
          <w:rFonts w:eastAsia="Calibri"/>
          <w:lang w:val="en-US" w:eastAsia="en-US"/>
        </w:rPr>
        <w:t>and</w:t>
      </w:r>
      <w:r w:rsidRPr="00E4449B">
        <w:rPr>
          <w:rFonts w:eastAsia="Calibri"/>
          <w:spacing w:val="-17"/>
          <w:lang w:val="en-US" w:eastAsia="en-US"/>
        </w:rPr>
        <w:t xml:space="preserve"> </w:t>
      </w:r>
      <w:r w:rsidRPr="00E4449B">
        <w:rPr>
          <w:rFonts w:eastAsia="Calibri"/>
          <w:spacing w:val="-1"/>
          <w:lang w:val="en-US" w:eastAsia="en-US"/>
        </w:rPr>
        <w:t>cap</w:t>
      </w:r>
      <w:r w:rsidRPr="00E4449B">
        <w:rPr>
          <w:rFonts w:eastAsia="Calibri"/>
          <w:lang w:val="en-US" w:eastAsia="en-US"/>
        </w:rPr>
        <w:t>it</w:t>
      </w:r>
      <w:r w:rsidRPr="00E4449B">
        <w:rPr>
          <w:rFonts w:eastAsia="Calibri"/>
          <w:spacing w:val="-1"/>
          <w:lang w:val="en-US" w:eastAsia="en-US"/>
        </w:rPr>
        <w:t>al</w:t>
      </w:r>
      <w:r w:rsidRPr="00E4449B">
        <w:rPr>
          <w:rFonts w:eastAsia="Calibri"/>
          <w:spacing w:val="-16"/>
          <w:lang w:val="en-US" w:eastAsia="en-US"/>
        </w:rPr>
        <w:t xml:space="preserve"> </w:t>
      </w:r>
      <w:r w:rsidRPr="00E4449B">
        <w:rPr>
          <w:rFonts w:eastAsia="Calibri"/>
          <w:lang w:val="en-US" w:eastAsia="en-US"/>
        </w:rPr>
        <w:t>infr</w:t>
      </w:r>
      <w:r w:rsidRPr="00E4449B">
        <w:rPr>
          <w:rFonts w:eastAsia="Calibri"/>
          <w:spacing w:val="-1"/>
          <w:lang w:val="en-US" w:eastAsia="en-US"/>
        </w:rPr>
        <w:t>as</w:t>
      </w:r>
      <w:r w:rsidRPr="00E4449B">
        <w:rPr>
          <w:rFonts w:eastAsia="Calibri"/>
          <w:lang w:val="en-US" w:eastAsia="en-US"/>
        </w:rPr>
        <w:t>truct</w:t>
      </w:r>
      <w:r w:rsidRPr="00E4449B">
        <w:rPr>
          <w:rFonts w:eastAsia="Calibri"/>
          <w:spacing w:val="-1"/>
          <w:lang w:val="en-US" w:eastAsia="en-US"/>
        </w:rPr>
        <w:t>u</w:t>
      </w:r>
      <w:r w:rsidRPr="00E4449B">
        <w:rPr>
          <w:rFonts w:eastAsia="Calibri"/>
          <w:lang w:val="en-US" w:eastAsia="en-US"/>
        </w:rPr>
        <w:t>re</w:t>
      </w:r>
      <w:r w:rsidRPr="00E4449B">
        <w:rPr>
          <w:rFonts w:eastAsia="Calibri"/>
          <w:spacing w:val="-16"/>
          <w:lang w:val="en-US" w:eastAsia="en-US"/>
        </w:rPr>
        <w:t xml:space="preserve"> </w:t>
      </w:r>
      <w:r w:rsidRPr="00E4449B">
        <w:rPr>
          <w:rFonts w:eastAsia="Calibri"/>
          <w:spacing w:val="-1"/>
          <w:lang w:val="en-US" w:eastAsia="en-US"/>
        </w:rPr>
        <w:t>in</w:t>
      </w:r>
      <w:r w:rsidRPr="00E4449B">
        <w:rPr>
          <w:rFonts w:eastAsia="Calibri"/>
          <w:lang w:val="en-US" w:eastAsia="en-US"/>
        </w:rPr>
        <w:t>ve</w:t>
      </w:r>
      <w:r w:rsidRPr="00E4449B">
        <w:rPr>
          <w:rFonts w:eastAsia="Calibri"/>
          <w:spacing w:val="-1"/>
          <w:lang w:val="en-US" w:eastAsia="en-US"/>
        </w:rPr>
        <w:t>s</w:t>
      </w:r>
      <w:r w:rsidRPr="00E4449B">
        <w:rPr>
          <w:rFonts w:eastAsia="Calibri"/>
          <w:lang w:val="en-US" w:eastAsia="en-US"/>
        </w:rPr>
        <w:t>tments</w:t>
      </w:r>
      <w:r w:rsidRPr="00E4449B">
        <w:rPr>
          <w:rFonts w:eastAsia="Calibri"/>
          <w:spacing w:val="25"/>
          <w:w w:val="97"/>
          <w:lang w:val="en-US" w:eastAsia="en-US"/>
        </w:rPr>
        <w:t xml:space="preserve"> </w:t>
      </w:r>
      <w:r w:rsidRPr="00E4449B">
        <w:rPr>
          <w:rFonts w:eastAsia="Calibri"/>
          <w:lang w:val="en-US" w:eastAsia="en-US"/>
        </w:rPr>
        <w:t>t</w:t>
      </w:r>
      <w:r w:rsidRPr="00E4449B">
        <w:rPr>
          <w:rFonts w:eastAsia="Calibri"/>
          <w:spacing w:val="-1"/>
          <w:lang w:val="en-US" w:eastAsia="en-US"/>
        </w:rPr>
        <w:t>o</w:t>
      </w:r>
      <w:r w:rsidRPr="00E4449B">
        <w:rPr>
          <w:rFonts w:eastAsia="Calibri"/>
          <w:spacing w:val="-14"/>
          <w:lang w:val="en-US" w:eastAsia="en-US"/>
        </w:rPr>
        <w:t xml:space="preserve"> </w:t>
      </w:r>
      <w:proofErr w:type="spellStart"/>
      <w:r w:rsidRPr="00E4449B">
        <w:rPr>
          <w:rFonts w:eastAsia="Calibri"/>
          <w:lang w:val="en-US" w:eastAsia="en-US"/>
        </w:rPr>
        <w:t>m</w:t>
      </w:r>
      <w:r w:rsidRPr="00E4449B">
        <w:rPr>
          <w:rFonts w:eastAsia="Calibri"/>
          <w:spacing w:val="-1"/>
          <w:lang w:val="en-US" w:eastAsia="en-US"/>
        </w:rPr>
        <w:t>aximise</w:t>
      </w:r>
      <w:proofErr w:type="spellEnd"/>
      <w:r w:rsidRPr="00E4449B">
        <w:rPr>
          <w:rFonts w:eastAsia="Calibri"/>
          <w:spacing w:val="-13"/>
          <w:lang w:val="en-US" w:eastAsia="en-US"/>
        </w:rPr>
        <w:t xml:space="preserve"> </w:t>
      </w:r>
      <w:r w:rsidRPr="00E4449B">
        <w:rPr>
          <w:rFonts w:eastAsia="Calibri"/>
          <w:spacing w:val="-1"/>
          <w:lang w:val="en-US" w:eastAsia="en-US"/>
        </w:rPr>
        <w:t>economic</w:t>
      </w:r>
      <w:r w:rsidRPr="00E4449B">
        <w:rPr>
          <w:rFonts w:eastAsia="Calibri"/>
          <w:spacing w:val="-15"/>
          <w:lang w:val="en-US" w:eastAsia="en-US"/>
        </w:rPr>
        <w:t xml:space="preserve"> </w:t>
      </w:r>
      <w:r w:rsidRPr="00E4449B">
        <w:rPr>
          <w:rFonts w:eastAsia="Calibri"/>
          <w:spacing w:val="-1"/>
          <w:lang w:val="en-US" w:eastAsia="en-US"/>
        </w:rPr>
        <w:t>op</w:t>
      </w:r>
      <w:r w:rsidRPr="00E4449B">
        <w:rPr>
          <w:rFonts w:eastAsia="Calibri"/>
          <w:lang w:val="en-US" w:eastAsia="en-US"/>
        </w:rPr>
        <w:t>port</w:t>
      </w:r>
      <w:r w:rsidRPr="00E4449B">
        <w:rPr>
          <w:rFonts w:eastAsia="Calibri"/>
          <w:spacing w:val="-1"/>
          <w:lang w:val="en-US" w:eastAsia="en-US"/>
        </w:rPr>
        <w:t>u</w:t>
      </w:r>
      <w:r w:rsidRPr="00E4449B">
        <w:rPr>
          <w:rFonts w:eastAsia="Calibri"/>
          <w:lang w:val="en-US" w:eastAsia="en-US"/>
        </w:rPr>
        <w:t>nitie</w:t>
      </w:r>
      <w:r w:rsidRPr="00E4449B">
        <w:rPr>
          <w:rFonts w:eastAsia="Calibri"/>
          <w:spacing w:val="-1"/>
          <w:lang w:val="en-US" w:eastAsia="en-US"/>
        </w:rPr>
        <w:t>s</w:t>
      </w:r>
      <w:r w:rsidRPr="00E4449B">
        <w:rPr>
          <w:rFonts w:eastAsia="Calibri"/>
          <w:spacing w:val="-15"/>
          <w:lang w:val="en-US" w:eastAsia="en-US"/>
        </w:rPr>
        <w:t xml:space="preserve"> </w:t>
      </w:r>
      <w:r w:rsidRPr="00E4449B">
        <w:rPr>
          <w:rFonts w:eastAsia="Calibri"/>
          <w:lang w:val="en-US" w:eastAsia="en-US"/>
        </w:rPr>
        <w:t>within</w:t>
      </w:r>
      <w:r w:rsidRPr="00E4449B">
        <w:rPr>
          <w:rFonts w:eastAsia="Calibri"/>
          <w:spacing w:val="-13"/>
          <w:lang w:val="en-US" w:eastAsia="en-US"/>
        </w:rPr>
        <w:t xml:space="preserve"> </w:t>
      </w:r>
      <w:r w:rsidRPr="00E4449B">
        <w:rPr>
          <w:rFonts w:eastAsia="Calibri"/>
          <w:spacing w:val="-3"/>
          <w:lang w:val="en-US" w:eastAsia="en-US"/>
        </w:rPr>
        <w:t>Queensland’s remote and discrete Aboriginal and Torres Strait Islander communities. This program contributed to improving sustainable economic outcomes through improved integrated procurement practices and supporting business and employment opportunities for Aboriginal and Torres Strait Islander Queen</w:t>
      </w:r>
      <w:r w:rsidRPr="00E4449B">
        <w:rPr>
          <w:rFonts w:eastAsia="Calibri"/>
          <w:spacing w:val="-1"/>
          <w:lang w:val="en-US" w:eastAsia="en-US"/>
        </w:rPr>
        <w:t>sland</w:t>
      </w:r>
      <w:r w:rsidRPr="00E4449B">
        <w:rPr>
          <w:rFonts w:eastAsia="Calibri"/>
          <w:lang w:val="en-US" w:eastAsia="en-US"/>
        </w:rPr>
        <w:t>er</w:t>
      </w:r>
      <w:r w:rsidRPr="00E4449B">
        <w:rPr>
          <w:rFonts w:eastAsia="Calibri"/>
          <w:spacing w:val="-1"/>
          <w:lang w:val="en-US" w:eastAsia="en-US"/>
        </w:rPr>
        <w:t>s.</w:t>
      </w:r>
    </w:p>
    <w:p w14:paraId="4D6F2F4D" w14:textId="77777777" w:rsidR="004E197D" w:rsidRPr="00E4449B" w:rsidRDefault="004E197D" w:rsidP="007744C2">
      <w:pPr>
        <w:rPr>
          <w:rFonts w:eastAsia="Calibri"/>
          <w:spacing w:val="-1"/>
          <w:lang w:val="en-US" w:eastAsia="en-US"/>
        </w:rPr>
      </w:pPr>
      <w:r w:rsidRPr="00E4449B">
        <w:rPr>
          <w:rFonts w:eastAsia="Calibri"/>
          <w:lang w:val="en-US" w:eastAsia="en-US"/>
        </w:rPr>
        <w:t>In</w:t>
      </w:r>
      <w:r w:rsidRPr="00E4449B">
        <w:rPr>
          <w:rFonts w:eastAsia="Calibri"/>
          <w:spacing w:val="-15"/>
          <w:lang w:val="en-US" w:eastAsia="en-US"/>
        </w:rPr>
        <w:t xml:space="preserve"> </w:t>
      </w:r>
      <w:r w:rsidRPr="00E4449B">
        <w:rPr>
          <w:rFonts w:eastAsia="Calibri"/>
          <w:spacing w:val="-1"/>
          <w:lang w:val="en-US" w:eastAsia="en-US"/>
        </w:rPr>
        <w:t>p</w:t>
      </w:r>
      <w:r w:rsidRPr="00E4449B">
        <w:rPr>
          <w:rFonts w:eastAsia="Calibri"/>
          <w:lang w:val="en-US" w:eastAsia="en-US"/>
        </w:rPr>
        <w:t>artner</w:t>
      </w:r>
      <w:r w:rsidRPr="00E4449B">
        <w:rPr>
          <w:rFonts w:eastAsia="Calibri"/>
          <w:spacing w:val="-1"/>
          <w:lang w:val="en-US" w:eastAsia="en-US"/>
        </w:rPr>
        <w:t>ship</w:t>
      </w:r>
      <w:r w:rsidRPr="00E4449B">
        <w:rPr>
          <w:rFonts w:eastAsia="Calibri"/>
          <w:spacing w:val="-14"/>
          <w:lang w:val="en-US" w:eastAsia="en-US"/>
        </w:rPr>
        <w:t xml:space="preserve"> </w:t>
      </w:r>
      <w:r w:rsidRPr="00E4449B">
        <w:rPr>
          <w:rFonts w:eastAsia="Calibri"/>
          <w:lang w:val="en-US" w:eastAsia="en-US"/>
        </w:rPr>
        <w:t>with</w:t>
      </w:r>
      <w:r w:rsidRPr="00E4449B">
        <w:rPr>
          <w:rFonts w:eastAsia="Calibri"/>
          <w:spacing w:val="-15"/>
          <w:lang w:val="en-US" w:eastAsia="en-US"/>
        </w:rPr>
        <w:t xml:space="preserve"> </w:t>
      </w:r>
      <w:r w:rsidRPr="00E4449B">
        <w:rPr>
          <w:rFonts w:eastAsia="Calibri"/>
          <w:lang w:val="en-US" w:eastAsia="en-US"/>
        </w:rPr>
        <w:t>C</w:t>
      </w:r>
      <w:r w:rsidRPr="00E4449B">
        <w:rPr>
          <w:rFonts w:eastAsia="Calibri"/>
          <w:spacing w:val="-3"/>
          <w:lang w:val="en-US" w:eastAsia="en-US"/>
        </w:rPr>
        <w:t>ou</w:t>
      </w:r>
      <w:r w:rsidRPr="00E4449B">
        <w:rPr>
          <w:rFonts w:eastAsia="Calibri"/>
          <w:lang w:val="en-US" w:eastAsia="en-US"/>
        </w:rPr>
        <w:t>ncils</w:t>
      </w:r>
      <w:r w:rsidRPr="00E4449B">
        <w:rPr>
          <w:rFonts w:eastAsia="Calibri"/>
          <w:spacing w:val="-16"/>
          <w:lang w:val="en-US" w:eastAsia="en-US"/>
        </w:rPr>
        <w:t xml:space="preserve"> </w:t>
      </w:r>
      <w:r w:rsidRPr="00E4449B">
        <w:rPr>
          <w:rFonts w:eastAsia="Calibri"/>
          <w:lang w:val="en-US" w:eastAsia="en-US"/>
        </w:rPr>
        <w:t>and</w:t>
      </w:r>
      <w:r w:rsidRPr="00E4449B">
        <w:rPr>
          <w:rFonts w:eastAsia="Calibri"/>
          <w:spacing w:val="-16"/>
          <w:lang w:val="en-US" w:eastAsia="en-US"/>
        </w:rPr>
        <w:t xml:space="preserve"> </w:t>
      </w:r>
      <w:r w:rsidRPr="00E4449B">
        <w:rPr>
          <w:rFonts w:eastAsia="Calibri"/>
          <w:spacing w:val="-1"/>
          <w:lang w:val="en-US" w:eastAsia="en-US"/>
        </w:rPr>
        <w:t>c</w:t>
      </w:r>
      <w:r w:rsidRPr="00E4449B">
        <w:rPr>
          <w:rFonts w:eastAsia="Calibri"/>
          <w:lang w:val="en-US" w:eastAsia="en-US"/>
        </w:rPr>
        <w:t>ommunitie</w:t>
      </w:r>
      <w:r w:rsidRPr="00E4449B">
        <w:rPr>
          <w:rFonts w:eastAsia="Calibri"/>
          <w:spacing w:val="-1"/>
          <w:lang w:val="en-US" w:eastAsia="en-US"/>
        </w:rPr>
        <w:t>s,</w:t>
      </w:r>
      <w:r w:rsidRPr="00E4449B">
        <w:rPr>
          <w:rFonts w:eastAsia="Calibri"/>
          <w:spacing w:val="-14"/>
          <w:lang w:val="en-US" w:eastAsia="en-US"/>
        </w:rPr>
        <w:t xml:space="preserve"> </w:t>
      </w:r>
      <w:r w:rsidRPr="00E4449B">
        <w:rPr>
          <w:rFonts w:eastAsia="Calibri"/>
          <w:lang w:val="en-US" w:eastAsia="en-US"/>
        </w:rPr>
        <w:t>the department delivered infrastructure and construction projects catering to the needs and aspirations of Aboriginal and Torres Strait Islander Queenslanders in remote and discrete Aboriginal and Torres Strait Islander communities.</w:t>
      </w:r>
    </w:p>
    <w:p w14:paraId="3D7674F0" w14:textId="41C5F727" w:rsidR="004E197D" w:rsidRPr="002229E3" w:rsidRDefault="004E197D" w:rsidP="00D21656">
      <w:pPr>
        <w:pStyle w:val="Heading4"/>
      </w:pPr>
      <w:r w:rsidRPr="002229E3">
        <w:lastRenderedPageBreak/>
        <w:t>Key achievements</w:t>
      </w:r>
    </w:p>
    <w:p w14:paraId="0470FE79" w14:textId="77777777" w:rsidR="004E197D" w:rsidRPr="00E4449B" w:rsidRDefault="004E197D" w:rsidP="007744C2">
      <w:pPr>
        <w:rPr>
          <w:rFonts w:eastAsia="Calibri"/>
          <w:lang w:val="en-US" w:eastAsia="en-US"/>
        </w:rPr>
      </w:pPr>
      <w:r w:rsidRPr="00E4449B">
        <w:rPr>
          <w:rFonts w:eastAsia="Calibri"/>
          <w:lang w:val="en-US" w:eastAsia="en-US"/>
        </w:rPr>
        <w:t>The department facilitated the design, construction and delivery of the following maintenance and construction projects:</w:t>
      </w:r>
    </w:p>
    <w:p w14:paraId="7DDF0EEB" w14:textId="68F5AE0E" w:rsidR="004E197D" w:rsidRPr="00E4449B" w:rsidRDefault="004E197D" w:rsidP="002229E3">
      <w:pPr>
        <w:pStyle w:val="ListBullet"/>
        <w:rPr>
          <w:rFonts w:eastAsia="Calibri"/>
          <w:lang w:val="en-US" w:eastAsia="en-US"/>
        </w:rPr>
      </w:pPr>
      <w:r w:rsidRPr="00E4449B">
        <w:rPr>
          <w:rFonts w:eastAsia="Calibri"/>
          <w:lang w:val="en-US" w:eastAsia="en-US"/>
        </w:rPr>
        <w:t xml:space="preserve">Mossman Gorge: </w:t>
      </w:r>
      <w:r w:rsidR="00861AB3">
        <w:rPr>
          <w:rFonts w:eastAsia="Calibri"/>
          <w:lang w:val="en-US" w:eastAsia="en-US"/>
        </w:rPr>
        <w:t xml:space="preserve">Mossman Gorge infrastructure upgrades construction completed (currently in the </w:t>
      </w:r>
      <w:r w:rsidRPr="00E4449B">
        <w:rPr>
          <w:rFonts w:eastAsia="Calibri"/>
          <w:lang w:val="en-US" w:eastAsia="en-US"/>
        </w:rPr>
        <w:t>defects liability period and progressing handover to Douglas Shire Council by December 2021</w:t>
      </w:r>
      <w:r w:rsidR="00861AB3">
        <w:rPr>
          <w:rFonts w:eastAsia="Calibri"/>
          <w:lang w:val="en-US" w:eastAsia="en-US"/>
        </w:rPr>
        <w:t>)</w:t>
      </w:r>
    </w:p>
    <w:p w14:paraId="714C3897" w14:textId="00C2E2E5" w:rsidR="004E197D" w:rsidRPr="00E4449B" w:rsidRDefault="004E197D" w:rsidP="002229E3">
      <w:pPr>
        <w:pStyle w:val="ListBullet"/>
        <w:rPr>
          <w:rFonts w:eastAsia="Calibri"/>
          <w:lang w:val="en-US" w:eastAsia="en-US"/>
        </w:rPr>
      </w:pPr>
      <w:proofErr w:type="spellStart"/>
      <w:r w:rsidRPr="00E4449B">
        <w:rPr>
          <w:rFonts w:eastAsia="Calibri"/>
          <w:lang w:val="en-US" w:eastAsia="en-US"/>
        </w:rPr>
        <w:t>Kowanyama</w:t>
      </w:r>
      <w:proofErr w:type="spellEnd"/>
      <w:r w:rsidRPr="00E4449B">
        <w:rPr>
          <w:rFonts w:eastAsia="Calibri"/>
          <w:lang w:val="en-US" w:eastAsia="en-US"/>
        </w:rPr>
        <w:t xml:space="preserve">: Partnership with </w:t>
      </w:r>
      <w:proofErr w:type="spellStart"/>
      <w:r w:rsidRPr="00E4449B">
        <w:rPr>
          <w:rFonts w:eastAsia="Calibri"/>
          <w:lang w:val="en-US" w:eastAsia="en-US"/>
        </w:rPr>
        <w:t>Kowanyama</w:t>
      </w:r>
      <w:proofErr w:type="spellEnd"/>
      <w:r w:rsidRPr="00E4449B">
        <w:rPr>
          <w:rFonts w:eastAsia="Calibri"/>
          <w:lang w:val="en-US" w:eastAsia="en-US"/>
        </w:rPr>
        <w:t xml:space="preserve"> Aboriginal Shire Council for the delivery of a Women’s Meeting Place (</w:t>
      </w:r>
      <w:r w:rsidR="004B6D6D">
        <w:rPr>
          <w:rFonts w:eastAsia="Calibri"/>
          <w:lang w:val="en-US" w:eastAsia="en-US"/>
        </w:rPr>
        <w:t>c</w:t>
      </w:r>
      <w:r w:rsidRPr="00E4449B">
        <w:rPr>
          <w:rFonts w:eastAsia="Calibri"/>
          <w:lang w:val="en-US" w:eastAsia="en-US"/>
        </w:rPr>
        <w:t>ompleted 30 June 2021)</w:t>
      </w:r>
    </w:p>
    <w:p w14:paraId="1423F65D" w14:textId="2EA1D977" w:rsidR="004E197D" w:rsidRPr="00E4449B" w:rsidRDefault="004E197D" w:rsidP="002229E3">
      <w:pPr>
        <w:pStyle w:val="ListBullet"/>
        <w:rPr>
          <w:rFonts w:eastAsia="Calibri"/>
          <w:lang w:val="en-US" w:eastAsia="en-US"/>
        </w:rPr>
      </w:pPr>
      <w:r w:rsidRPr="00E4449B">
        <w:rPr>
          <w:rFonts w:eastAsia="Calibri"/>
          <w:lang w:val="en-US" w:eastAsia="en-US"/>
        </w:rPr>
        <w:t>Torres Shire: Consulting on the location and design of the Splash Park with the Council and community for the construction of the Splash Park (</w:t>
      </w:r>
      <w:r w:rsidR="004B6D6D">
        <w:rPr>
          <w:rFonts w:eastAsia="Calibri"/>
          <w:lang w:val="en-US" w:eastAsia="en-US"/>
        </w:rPr>
        <w:t>o</w:t>
      </w:r>
      <w:r w:rsidRPr="00E4449B">
        <w:rPr>
          <w:rFonts w:eastAsia="Calibri"/>
          <w:lang w:val="en-US" w:eastAsia="en-US"/>
        </w:rPr>
        <w:t>ngoing)</w:t>
      </w:r>
    </w:p>
    <w:p w14:paraId="42AF0ADA" w14:textId="1F892616" w:rsidR="004E197D" w:rsidRPr="00E4449B" w:rsidRDefault="004E197D" w:rsidP="002229E3">
      <w:pPr>
        <w:pStyle w:val="ListBullet"/>
        <w:rPr>
          <w:rFonts w:eastAsia="Calibri"/>
          <w:lang w:val="en-US" w:eastAsia="en-US"/>
        </w:rPr>
      </w:pPr>
      <w:proofErr w:type="spellStart"/>
      <w:r w:rsidRPr="00E4449B">
        <w:rPr>
          <w:rFonts w:eastAsia="Calibri"/>
          <w:lang w:val="en-US" w:eastAsia="en-US"/>
        </w:rPr>
        <w:t>Aurukun</w:t>
      </w:r>
      <w:proofErr w:type="spellEnd"/>
      <w:r w:rsidRPr="00E4449B">
        <w:rPr>
          <w:rFonts w:eastAsia="Calibri"/>
          <w:lang w:val="en-US" w:eastAsia="en-US"/>
        </w:rPr>
        <w:t xml:space="preserve">, Mapoon, </w:t>
      </w:r>
      <w:proofErr w:type="spellStart"/>
      <w:r w:rsidRPr="00E4449B">
        <w:rPr>
          <w:rFonts w:eastAsia="Calibri"/>
          <w:lang w:val="en-US" w:eastAsia="en-US"/>
        </w:rPr>
        <w:t>Napranum</w:t>
      </w:r>
      <w:proofErr w:type="spellEnd"/>
      <w:r w:rsidRPr="00E4449B">
        <w:rPr>
          <w:rFonts w:eastAsia="Calibri"/>
          <w:lang w:val="en-US" w:eastAsia="en-US"/>
        </w:rPr>
        <w:t xml:space="preserve"> and </w:t>
      </w:r>
      <w:proofErr w:type="spellStart"/>
      <w:r w:rsidRPr="00E4449B">
        <w:rPr>
          <w:rFonts w:eastAsia="Calibri"/>
          <w:lang w:val="en-US" w:eastAsia="en-US"/>
        </w:rPr>
        <w:t>Pormpuraaw</w:t>
      </w:r>
      <w:proofErr w:type="spellEnd"/>
      <w:r w:rsidRPr="00E4449B">
        <w:rPr>
          <w:rFonts w:eastAsia="Calibri"/>
          <w:lang w:val="en-US" w:eastAsia="en-US"/>
        </w:rPr>
        <w:t>:  Implementation of operation and maintenance Service Agreements (2021 to 2024) for the four Splash Parks</w:t>
      </w:r>
      <w:r w:rsidR="004B6D6D">
        <w:rPr>
          <w:rFonts w:eastAsia="Calibri"/>
          <w:lang w:val="en-US" w:eastAsia="en-US"/>
        </w:rPr>
        <w:t xml:space="preserve"> (ongoing)</w:t>
      </w:r>
      <w:r w:rsidRPr="00E4449B">
        <w:rPr>
          <w:rFonts w:eastAsia="Calibri"/>
          <w:lang w:val="en-US" w:eastAsia="en-US"/>
        </w:rPr>
        <w:t xml:space="preserve">. </w:t>
      </w:r>
    </w:p>
    <w:p w14:paraId="50402875" w14:textId="0A747D0B" w:rsidR="004E197D" w:rsidRPr="00E4449B" w:rsidRDefault="004E197D" w:rsidP="002229E3">
      <w:pPr>
        <w:pStyle w:val="ListBullet"/>
        <w:rPr>
          <w:rFonts w:eastAsia="Calibri"/>
          <w:lang w:val="en-US" w:eastAsia="en-US"/>
        </w:rPr>
      </w:pPr>
      <w:r w:rsidRPr="00E4449B">
        <w:rPr>
          <w:rFonts w:eastAsia="Calibri"/>
          <w:lang w:val="en-US" w:eastAsia="en-US"/>
        </w:rPr>
        <w:t>Palm Island Memorial</w:t>
      </w:r>
      <w:r w:rsidR="00861AB3">
        <w:rPr>
          <w:rFonts w:eastAsia="Calibri"/>
          <w:lang w:val="en-US" w:eastAsia="en-US"/>
        </w:rPr>
        <w:t xml:space="preserve"> </w:t>
      </w:r>
      <w:r w:rsidR="004B6D6D">
        <w:rPr>
          <w:rFonts w:eastAsia="Calibri"/>
          <w:lang w:val="en-US" w:eastAsia="en-US"/>
        </w:rPr>
        <w:t>(</w:t>
      </w:r>
      <w:r w:rsidR="00861AB3">
        <w:rPr>
          <w:rFonts w:eastAsia="Calibri"/>
          <w:lang w:val="en-US" w:eastAsia="en-US"/>
        </w:rPr>
        <w:t>completed</w:t>
      </w:r>
      <w:r w:rsidR="004B6D6D">
        <w:rPr>
          <w:rFonts w:eastAsia="Calibri"/>
          <w:lang w:val="en-US" w:eastAsia="en-US"/>
        </w:rPr>
        <w:t>)</w:t>
      </w:r>
      <w:r w:rsidRPr="00E4449B">
        <w:rPr>
          <w:rFonts w:eastAsia="Calibri"/>
          <w:lang w:val="en-US" w:eastAsia="en-US"/>
        </w:rPr>
        <w:t>.</w:t>
      </w:r>
    </w:p>
    <w:p w14:paraId="485CF37C" w14:textId="77777777" w:rsidR="004E197D" w:rsidRPr="00E4449B" w:rsidRDefault="004E197D" w:rsidP="007744C2">
      <w:pPr>
        <w:rPr>
          <w:rFonts w:eastAsia="Calibri"/>
          <w:lang w:val="en-US" w:eastAsia="en-US"/>
        </w:rPr>
      </w:pPr>
      <w:r w:rsidRPr="00E4449B">
        <w:rPr>
          <w:rFonts w:eastAsia="Calibri"/>
          <w:lang w:val="en-US" w:eastAsia="en-US"/>
        </w:rPr>
        <w:t>Ongoing projects in this period included:</w:t>
      </w:r>
    </w:p>
    <w:p w14:paraId="30F5B3DD" w14:textId="18F799AA" w:rsidR="004E197D" w:rsidRPr="00E4449B" w:rsidRDefault="004E197D" w:rsidP="002229E3">
      <w:pPr>
        <w:pStyle w:val="ListBullet"/>
        <w:rPr>
          <w:rFonts w:eastAsia="Calibri"/>
          <w:lang w:val="en-US" w:eastAsia="en-US"/>
        </w:rPr>
      </w:pPr>
      <w:proofErr w:type="spellStart"/>
      <w:r w:rsidRPr="00E4449B">
        <w:rPr>
          <w:rFonts w:eastAsia="Calibri"/>
          <w:lang w:val="en-US" w:eastAsia="en-US"/>
        </w:rPr>
        <w:t>Petford</w:t>
      </w:r>
      <w:proofErr w:type="spellEnd"/>
      <w:r w:rsidRPr="00E4449B">
        <w:rPr>
          <w:rFonts w:eastAsia="Calibri"/>
          <w:lang w:val="en-US" w:eastAsia="en-US"/>
        </w:rPr>
        <w:t xml:space="preserve"> Reserve infrastructure and associated upgrades to bring it to a safe and habitable state  </w:t>
      </w:r>
    </w:p>
    <w:p w14:paraId="5D01FAA1" w14:textId="425EF4B4" w:rsidR="004E197D" w:rsidRPr="00E4449B" w:rsidRDefault="004E197D" w:rsidP="002229E3">
      <w:pPr>
        <w:pStyle w:val="ListBullet"/>
        <w:rPr>
          <w:rFonts w:eastAsia="Calibri"/>
          <w:lang w:val="en-US" w:eastAsia="en-US"/>
        </w:rPr>
      </w:pPr>
      <w:r w:rsidRPr="00E4449B">
        <w:rPr>
          <w:rFonts w:eastAsia="Calibri"/>
          <w:lang w:val="en-US" w:eastAsia="en-US"/>
        </w:rPr>
        <w:t xml:space="preserve">Mona </w:t>
      </w:r>
      <w:proofErr w:type="spellStart"/>
      <w:r w:rsidRPr="00E4449B">
        <w:rPr>
          <w:rFonts w:eastAsia="Calibri"/>
          <w:lang w:val="en-US" w:eastAsia="en-US"/>
        </w:rPr>
        <w:t>Mona</w:t>
      </w:r>
      <w:proofErr w:type="spellEnd"/>
      <w:r w:rsidRPr="00E4449B">
        <w:rPr>
          <w:rFonts w:eastAsia="Calibri"/>
          <w:lang w:val="en-US" w:eastAsia="en-US"/>
        </w:rPr>
        <w:t xml:space="preserve"> Reserve wastewater, water and health and safety upgrades.</w:t>
      </w:r>
    </w:p>
    <w:p w14:paraId="2FF8C80F" w14:textId="398949FB" w:rsidR="004E197D" w:rsidRPr="00E4449B" w:rsidRDefault="004E197D" w:rsidP="007524AB">
      <w:pPr>
        <w:pStyle w:val="Heading3"/>
      </w:pPr>
      <w:bookmarkStart w:id="71" w:name="_Toc67046690"/>
      <w:bookmarkStart w:id="72" w:name="_Toc78287383"/>
      <w:bookmarkStart w:id="73" w:name="_Toc78355790"/>
      <w:r w:rsidRPr="00E4449B">
        <w:t xml:space="preserve">Employment opportunities - infrastructure projects </w:t>
      </w:r>
      <w:r w:rsidRPr="00ED2F79">
        <w:rPr>
          <w:i/>
          <w:iCs/>
        </w:rPr>
        <w:t>within</w:t>
      </w:r>
      <w:r w:rsidRPr="00E4449B">
        <w:t xml:space="preserve"> the remote and discrete communities</w:t>
      </w:r>
      <w:bookmarkEnd w:id="71"/>
      <w:bookmarkEnd w:id="72"/>
      <w:bookmarkEnd w:id="73"/>
      <w:r w:rsidRPr="00E4449B">
        <w:t xml:space="preserve"> </w:t>
      </w:r>
    </w:p>
    <w:p w14:paraId="761FAB8E" w14:textId="7D4FE3DC" w:rsidR="004E197D" w:rsidRPr="00E4449B" w:rsidRDefault="004E197D" w:rsidP="007744C2">
      <w:pPr>
        <w:rPr>
          <w:rFonts w:eastAsia="Calibri"/>
          <w:lang w:val="en-US" w:eastAsia="en-US"/>
        </w:rPr>
      </w:pPr>
      <w:r w:rsidRPr="00E4449B">
        <w:rPr>
          <w:rFonts w:eastAsia="Calibri"/>
          <w:lang w:val="en-US" w:eastAsia="en-US"/>
        </w:rPr>
        <w:t>Increases in employment and business opportunities for Aboriginal and Torres Strait Islander Queenslanders were achieved by leveraging the procurement associated with civil, building and construction projects, th</w:t>
      </w:r>
      <w:r w:rsidR="00ED2F79">
        <w:rPr>
          <w:rFonts w:eastAsia="Calibri"/>
          <w:lang w:val="en-US" w:eastAsia="en-US"/>
        </w:rPr>
        <w:t>r</w:t>
      </w:r>
      <w:r w:rsidRPr="00E4449B">
        <w:rPr>
          <w:rFonts w:eastAsia="Calibri"/>
          <w:lang w:val="en-US" w:eastAsia="en-US"/>
        </w:rPr>
        <w:t>ough effective negotiations for Aboriginal and Torres Strait Islander economic opportunities within the remote and discrete communities.</w:t>
      </w:r>
    </w:p>
    <w:p w14:paraId="38056B0F" w14:textId="77777777" w:rsidR="004E197D" w:rsidRPr="002229E3" w:rsidRDefault="004E197D" w:rsidP="00D21656">
      <w:pPr>
        <w:pStyle w:val="Heading4"/>
      </w:pPr>
      <w:r w:rsidRPr="002229E3">
        <w:t>Key achievements</w:t>
      </w:r>
    </w:p>
    <w:p w14:paraId="42E8FDAF" w14:textId="6A15A85E" w:rsidR="004E197D" w:rsidRPr="00E4449B" w:rsidRDefault="00326C8A" w:rsidP="007744C2">
      <w:pPr>
        <w:rPr>
          <w:rFonts w:eastAsia="Calibri"/>
          <w:color w:val="414042"/>
          <w:lang w:val="en-US" w:eastAsia="en-US"/>
        </w:rPr>
      </w:pPr>
      <w:r w:rsidRPr="00E4449B">
        <w:rPr>
          <w:rFonts w:eastAsia="Calibri"/>
          <w:lang w:val="en-US" w:eastAsia="en-US"/>
        </w:rPr>
        <w:t>During the reporting period</w:t>
      </w:r>
      <w:r w:rsidR="00606E46" w:rsidRPr="00E4449B">
        <w:rPr>
          <w:rFonts w:eastAsia="Calibri"/>
          <w:lang w:val="en-US" w:eastAsia="en-US"/>
        </w:rPr>
        <w:t xml:space="preserve"> 13 November 2020</w:t>
      </w:r>
      <w:r w:rsidR="00E45BB1" w:rsidRPr="00E4449B">
        <w:rPr>
          <w:rFonts w:eastAsia="Calibri"/>
          <w:lang w:val="en-US" w:eastAsia="en-US"/>
        </w:rPr>
        <w:t xml:space="preserve"> to</w:t>
      </w:r>
      <w:r w:rsidR="00606E46" w:rsidRPr="00E4449B">
        <w:rPr>
          <w:rFonts w:eastAsia="Calibri"/>
          <w:lang w:val="en-US" w:eastAsia="en-US"/>
        </w:rPr>
        <w:t xml:space="preserve"> 30 June 2021</w:t>
      </w:r>
      <w:r w:rsidRPr="00E4449B">
        <w:rPr>
          <w:rFonts w:eastAsia="Calibri"/>
          <w:lang w:val="en-US" w:eastAsia="en-US"/>
        </w:rPr>
        <w:t>, the</w:t>
      </w:r>
      <w:r w:rsidRPr="00E4449B">
        <w:rPr>
          <w:rFonts w:eastAsia="Calibri"/>
          <w:spacing w:val="-14"/>
          <w:lang w:val="en-US" w:eastAsia="en-US"/>
        </w:rPr>
        <w:t xml:space="preserve"> </w:t>
      </w:r>
      <w:r w:rsidRPr="00E4449B">
        <w:rPr>
          <w:rFonts w:eastAsia="Calibri"/>
          <w:spacing w:val="-1"/>
          <w:lang w:val="en-US" w:eastAsia="en-US"/>
        </w:rPr>
        <w:t>dep</w:t>
      </w:r>
      <w:r w:rsidRPr="00E4449B">
        <w:rPr>
          <w:rFonts w:eastAsia="Calibri"/>
          <w:spacing w:val="-2"/>
          <w:lang w:val="en-US" w:eastAsia="en-US"/>
        </w:rPr>
        <w:t>artment f</w:t>
      </w:r>
      <w:r w:rsidR="004E197D" w:rsidRPr="00E4449B">
        <w:rPr>
          <w:rFonts w:eastAsia="Calibri"/>
          <w:color w:val="414042"/>
          <w:lang w:val="en-US" w:eastAsia="en-US"/>
        </w:rPr>
        <w:t>acilitate</w:t>
      </w:r>
      <w:r w:rsidRPr="00E4449B">
        <w:rPr>
          <w:rFonts w:eastAsia="Calibri"/>
          <w:color w:val="414042"/>
          <w:lang w:val="en-US" w:eastAsia="en-US"/>
        </w:rPr>
        <w:t>d</w:t>
      </w:r>
      <w:r w:rsidR="004E197D" w:rsidRPr="00E4449B">
        <w:rPr>
          <w:rFonts w:eastAsia="Calibri"/>
          <w:color w:val="414042"/>
          <w:lang w:val="en-US" w:eastAsia="en-US"/>
        </w:rPr>
        <w:t xml:space="preserve"> the following employment and business outcomes: </w:t>
      </w:r>
    </w:p>
    <w:p w14:paraId="7F58F73D" w14:textId="059EAB4B" w:rsidR="004E197D" w:rsidRPr="007744C2" w:rsidRDefault="004E197D" w:rsidP="007744C2">
      <w:pPr>
        <w:pStyle w:val="ListBullet"/>
        <w:rPr>
          <w:rFonts w:eastAsia="Calibri"/>
        </w:rPr>
      </w:pPr>
      <w:r w:rsidRPr="007744C2">
        <w:rPr>
          <w:rFonts w:eastAsia="Calibri"/>
        </w:rPr>
        <w:t xml:space="preserve">191 job placements for Aboriginal peoples and Torres Strait Islander peoples on </w:t>
      </w:r>
      <w:r w:rsidRPr="004B6D6D">
        <w:rPr>
          <w:rFonts w:eastAsia="Calibri"/>
          <w:i/>
          <w:iCs/>
        </w:rPr>
        <w:t>Queensland Government Building and Construction Training Policy</w:t>
      </w:r>
      <w:r w:rsidRPr="007744C2">
        <w:rPr>
          <w:rFonts w:eastAsia="Calibri"/>
        </w:rPr>
        <w:t xml:space="preserve"> eligible projects constructed within the remote and discrete Aboriginal and Torres Strait Islander communities</w:t>
      </w:r>
      <w:r w:rsidR="00606E46" w:rsidRPr="007744C2">
        <w:rPr>
          <w:rFonts w:eastAsia="Calibri"/>
        </w:rPr>
        <w:t xml:space="preserve"> </w:t>
      </w:r>
    </w:p>
    <w:p w14:paraId="1311E91B" w14:textId="7DD76FC1" w:rsidR="004E197D" w:rsidRPr="007744C2" w:rsidRDefault="004E197D" w:rsidP="007744C2">
      <w:pPr>
        <w:pStyle w:val="ListBullet"/>
        <w:rPr>
          <w:rFonts w:eastAsia="Calibri"/>
        </w:rPr>
      </w:pPr>
      <w:r w:rsidRPr="007744C2">
        <w:rPr>
          <w:rFonts w:eastAsia="Calibri"/>
        </w:rPr>
        <w:t>42 Aboriginal peoples and Torres Strait Islander peoples have been engaged as either an apprentice or trainee</w:t>
      </w:r>
      <w:r w:rsidR="000933CC" w:rsidRPr="007744C2">
        <w:rPr>
          <w:rFonts w:eastAsia="Calibri"/>
        </w:rPr>
        <w:t>.</w:t>
      </w:r>
      <w:r w:rsidR="00606E46" w:rsidRPr="007744C2">
        <w:rPr>
          <w:rFonts w:eastAsia="Calibri"/>
        </w:rPr>
        <w:t xml:space="preserve"> </w:t>
      </w:r>
    </w:p>
    <w:p w14:paraId="312873B9" w14:textId="2FDD2E8A" w:rsidR="004E197D" w:rsidRPr="00E4449B" w:rsidRDefault="004E197D" w:rsidP="007524AB">
      <w:pPr>
        <w:pStyle w:val="Heading3"/>
      </w:pPr>
      <w:bookmarkStart w:id="74" w:name="_Toc67046691"/>
      <w:bookmarkStart w:id="75" w:name="_Toc78287384"/>
      <w:bookmarkStart w:id="76" w:name="_Toc78355791"/>
      <w:r w:rsidRPr="00E4449B">
        <w:t xml:space="preserve">Employment opportunities - infrastructure projects </w:t>
      </w:r>
      <w:r w:rsidRPr="00ED2F79">
        <w:rPr>
          <w:i/>
          <w:iCs/>
        </w:rPr>
        <w:t>outside</w:t>
      </w:r>
      <w:r w:rsidRPr="00E4449B">
        <w:t xml:space="preserve"> the remote and discrete communities</w:t>
      </w:r>
      <w:bookmarkEnd w:id="74"/>
      <w:bookmarkEnd w:id="75"/>
      <w:bookmarkEnd w:id="76"/>
    </w:p>
    <w:p w14:paraId="77EC3B8C" w14:textId="3D732DF3" w:rsidR="004E197D" w:rsidRDefault="004E197D" w:rsidP="007744C2">
      <w:pPr>
        <w:rPr>
          <w:rFonts w:eastAsia="Calibri"/>
          <w:lang w:val="en-US" w:eastAsia="en-US"/>
        </w:rPr>
      </w:pPr>
      <w:r w:rsidRPr="00E4449B">
        <w:rPr>
          <w:rFonts w:eastAsia="Calibri"/>
          <w:lang w:val="en-US" w:eastAsia="en-US"/>
        </w:rPr>
        <w:t>Increases in employment, training and business opportunities for Aboriginal and Torres Strait Islander Queenslanders were achieved by leveraging the procurement associated with Queensland Government building and civil construction projects</w:t>
      </w:r>
      <w:r w:rsidR="00606E46" w:rsidRPr="00E4449B">
        <w:rPr>
          <w:rFonts w:eastAsia="Calibri"/>
          <w:lang w:val="en-US" w:eastAsia="en-US"/>
        </w:rPr>
        <w:t xml:space="preserve">, </w:t>
      </w:r>
      <w:r w:rsidRPr="00E4449B">
        <w:rPr>
          <w:rFonts w:eastAsia="Calibri"/>
          <w:lang w:val="en-US" w:eastAsia="en-US"/>
        </w:rPr>
        <w:t>outside the remote and discrete Aboriginal and Torres Strait Islander communities, through effective negotiations for Aboriginal and Torres Strait Islander economic opportunities.</w:t>
      </w:r>
    </w:p>
    <w:p w14:paraId="06B69FAB" w14:textId="391DE111" w:rsidR="00861AB3" w:rsidRDefault="00861AB3" w:rsidP="007744C2">
      <w:pPr>
        <w:rPr>
          <w:rFonts w:eastAsia="Calibri"/>
          <w:lang w:val="en-US" w:eastAsia="en-US"/>
        </w:rPr>
      </w:pPr>
      <w:r w:rsidRPr="00861AB3">
        <w:rPr>
          <w:rFonts w:eastAsia="Calibri"/>
          <w:lang w:val="en-US" w:eastAsia="en-US"/>
        </w:rPr>
        <w:t xml:space="preserve">Job outcomes are achieved by facilitating compliant Indigenous Employment Opportunity Plans for eligible projects with procuring agencies and principle contractors and monitoring the employment and business supply outcomes during </w:t>
      </w:r>
      <w:proofErr w:type="gramStart"/>
      <w:r w:rsidRPr="00861AB3">
        <w:rPr>
          <w:rFonts w:eastAsia="Calibri"/>
          <w:lang w:val="en-US" w:eastAsia="en-US"/>
        </w:rPr>
        <w:t>construction</w:t>
      </w:r>
      <w:r w:rsidR="004B6D6D">
        <w:rPr>
          <w:rFonts w:eastAsia="Calibri"/>
          <w:lang w:val="en-US" w:eastAsia="en-US"/>
        </w:rPr>
        <w:t>,</w:t>
      </w:r>
      <w:r w:rsidRPr="00861AB3">
        <w:rPr>
          <w:rFonts w:eastAsia="Calibri"/>
          <w:lang w:val="en-US" w:eastAsia="en-US"/>
        </w:rPr>
        <w:t xml:space="preserve"> and</w:t>
      </w:r>
      <w:proofErr w:type="gramEnd"/>
      <w:r w:rsidRPr="00861AB3">
        <w:rPr>
          <w:rFonts w:eastAsia="Calibri"/>
          <w:lang w:val="en-US" w:eastAsia="en-US"/>
        </w:rPr>
        <w:t xml:space="preserve"> ensuring that these outcomes are uploaded by the principle contractor on the Training Policy Administration System.</w:t>
      </w:r>
    </w:p>
    <w:p w14:paraId="3CB564AB" w14:textId="7BDB27AC" w:rsidR="004E197D" w:rsidRPr="007744C2" w:rsidRDefault="00E43202" w:rsidP="00D21656">
      <w:pPr>
        <w:pStyle w:val="Heading4"/>
      </w:pPr>
      <w:r>
        <w:br w:type="column"/>
      </w:r>
      <w:r w:rsidR="004E197D" w:rsidRPr="007744C2">
        <w:lastRenderedPageBreak/>
        <w:t>Key achievements</w:t>
      </w:r>
    </w:p>
    <w:p w14:paraId="15E3C2E0" w14:textId="5BE90E2A" w:rsidR="004E197D" w:rsidRPr="00E4449B" w:rsidRDefault="004E197D" w:rsidP="007744C2">
      <w:pPr>
        <w:rPr>
          <w:lang w:eastAsia="en-US"/>
        </w:rPr>
      </w:pPr>
      <w:r w:rsidRPr="00E4449B">
        <w:rPr>
          <w:lang w:eastAsia="en-US"/>
        </w:rPr>
        <w:t xml:space="preserve">The following employment and business outcomes were reported from completed projects outside the remote and discrete Aboriginal and Torres Strait Islander communities during the period 13 November 2020 </w:t>
      </w:r>
      <w:r w:rsidR="00E45BB1" w:rsidRPr="00E4449B">
        <w:rPr>
          <w:lang w:eastAsia="en-US"/>
        </w:rPr>
        <w:t>to</w:t>
      </w:r>
      <w:r w:rsidRPr="00E4449B">
        <w:rPr>
          <w:lang w:eastAsia="en-US"/>
        </w:rPr>
        <w:t xml:space="preserve"> 30 June 2021:</w:t>
      </w:r>
    </w:p>
    <w:p w14:paraId="5DB7BB2E" w14:textId="72165F45" w:rsidR="004E197D" w:rsidRPr="007744C2" w:rsidRDefault="004E197D" w:rsidP="007744C2">
      <w:pPr>
        <w:pStyle w:val="ListBullet"/>
        <w:rPr>
          <w:rFonts w:eastAsia="Calibri"/>
        </w:rPr>
      </w:pPr>
      <w:r w:rsidRPr="007744C2">
        <w:rPr>
          <w:rFonts w:eastAsia="Calibri"/>
        </w:rPr>
        <w:t xml:space="preserve">673 job placements for Aboriginal peoples and Torres Strait Islander peoples </w:t>
      </w:r>
      <w:bookmarkStart w:id="77" w:name="_Hlk78996260"/>
    </w:p>
    <w:bookmarkEnd w:id="77"/>
    <w:p w14:paraId="6C94A934" w14:textId="11701802" w:rsidR="004E197D" w:rsidRPr="007744C2" w:rsidRDefault="004E197D" w:rsidP="007744C2">
      <w:pPr>
        <w:pStyle w:val="ListBullet"/>
        <w:rPr>
          <w:rFonts w:eastAsia="Calibri"/>
        </w:rPr>
      </w:pPr>
      <w:r w:rsidRPr="007744C2">
        <w:rPr>
          <w:rFonts w:eastAsia="Calibri"/>
        </w:rPr>
        <w:t>53 Aboriginal and Torres Strait Islander workers undertook accredited training</w:t>
      </w:r>
      <w:r w:rsidR="001662AA" w:rsidRPr="007744C2">
        <w:rPr>
          <w:rFonts w:eastAsia="Calibri"/>
        </w:rPr>
        <w:t xml:space="preserve"> </w:t>
      </w:r>
    </w:p>
    <w:p w14:paraId="1E2C1366" w14:textId="2F8E2EF6" w:rsidR="004E197D" w:rsidRPr="007744C2" w:rsidRDefault="004E197D" w:rsidP="007744C2">
      <w:pPr>
        <w:pStyle w:val="ListBullet"/>
        <w:rPr>
          <w:rFonts w:eastAsia="Calibri"/>
        </w:rPr>
      </w:pPr>
      <w:r w:rsidRPr="007744C2">
        <w:rPr>
          <w:rFonts w:eastAsia="Calibri"/>
        </w:rPr>
        <w:t>over $1.52 million worth of contracts have been awarded to Aboriginal and Torres Strait Islander owned businesses</w:t>
      </w:r>
      <w:r w:rsidR="000933CC" w:rsidRPr="007744C2">
        <w:rPr>
          <w:rFonts w:eastAsia="Calibri"/>
        </w:rPr>
        <w:t>.</w:t>
      </w:r>
      <w:r w:rsidR="001662AA" w:rsidRPr="007744C2">
        <w:rPr>
          <w:rFonts w:eastAsia="Calibri"/>
        </w:rPr>
        <w:t xml:space="preserve"> </w:t>
      </w:r>
    </w:p>
    <w:p w14:paraId="1BF0EBED" w14:textId="77777777" w:rsidR="004E197D" w:rsidRPr="00E4449B" w:rsidRDefault="004E197D" w:rsidP="007524AB">
      <w:pPr>
        <w:pStyle w:val="Heading3"/>
      </w:pPr>
      <w:bookmarkStart w:id="78" w:name="_Toc67046692"/>
      <w:bookmarkStart w:id="79" w:name="_Toc78287385"/>
      <w:bookmarkStart w:id="80" w:name="_Toc78355792"/>
      <w:r w:rsidRPr="00E4449B">
        <w:t>Working in partnership</w:t>
      </w:r>
      <w:bookmarkEnd w:id="78"/>
      <w:bookmarkEnd w:id="79"/>
      <w:bookmarkEnd w:id="80"/>
    </w:p>
    <w:p w14:paraId="04979B99" w14:textId="19289321" w:rsidR="004E197D" w:rsidRPr="00E4449B" w:rsidRDefault="004E197D" w:rsidP="007744C2">
      <w:pPr>
        <w:rPr>
          <w:rFonts w:eastAsia="Calibri"/>
          <w:w w:val="105"/>
          <w:lang w:val="en-US" w:eastAsia="en-US"/>
        </w:rPr>
      </w:pPr>
      <w:r w:rsidRPr="00E4449B">
        <w:rPr>
          <w:rFonts w:eastAsia="Calibri"/>
          <w:w w:val="105"/>
          <w:lang w:val="en-US" w:eastAsia="en-US"/>
        </w:rPr>
        <w:t xml:space="preserve">The department is committed to brokering education, training and employment opportunities for Aboriginal and Torres Strait Islander Queenslanders. </w:t>
      </w:r>
    </w:p>
    <w:p w14:paraId="4738EE69" w14:textId="5682DB28" w:rsidR="004E197D" w:rsidRPr="00E4449B" w:rsidRDefault="004E197D" w:rsidP="00D21656">
      <w:pPr>
        <w:pStyle w:val="Heading4"/>
      </w:pPr>
      <w:r w:rsidRPr="00E4449B">
        <w:t>Key achievements</w:t>
      </w:r>
    </w:p>
    <w:p w14:paraId="2D528890" w14:textId="77777777" w:rsidR="00956006" w:rsidRPr="00E4449B" w:rsidRDefault="00D67523" w:rsidP="00D21656">
      <w:pPr>
        <w:rPr>
          <w:rFonts w:eastAsia="Calibri"/>
          <w:w w:val="105"/>
          <w:lang w:val="en-US" w:eastAsia="en-US"/>
        </w:rPr>
      </w:pPr>
      <w:r w:rsidRPr="00E4449B">
        <w:rPr>
          <w:rFonts w:eastAsia="Calibri"/>
          <w:w w:val="105"/>
          <w:lang w:val="en-US" w:eastAsia="en-US"/>
        </w:rPr>
        <w:t>During the reporting period, t</w:t>
      </w:r>
      <w:r w:rsidR="004E197D" w:rsidRPr="00E4449B">
        <w:rPr>
          <w:rFonts w:eastAsia="Calibri"/>
          <w:w w:val="105"/>
          <w:lang w:val="en-US" w:eastAsia="en-US"/>
        </w:rPr>
        <w:t>he department</w:t>
      </w:r>
      <w:r w:rsidR="00956006" w:rsidRPr="00E4449B">
        <w:rPr>
          <w:rFonts w:eastAsia="Calibri"/>
          <w:w w:val="105"/>
          <w:lang w:val="en-US" w:eastAsia="en-US"/>
        </w:rPr>
        <w:t>:</w:t>
      </w:r>
    </w:p>
    <w:p w14:paraId="6E1F03F7" w14:textId="1A482EC8" w:rsidR="004E197D" w:rsidRPr="007744C2" w:rsidRDefault="004E197D" w:rsidP="007744C2">
      <w:pPr>
        <w:pStyle w:val="ListBullet"/>
        <w:rPr>
          <w:rFonts w:eastAsia="Calibri"/>
        </w:rPr>
      </w:pPr>
      <w:r w:rsidRPr="007744C2">
        <w:rPr>
          <w:rFonts w:eastAsia="Calibri"/>
        </w:rPr>
        <w:t>continued strong partnerships with the following industry partners:</w:t>
      </w:r>
    </w:p>
    <w:p w14:paraId="36E8020F" w14:textId="77777777" w:rsidR="004E197D" w:rsidRPr="00D21656" w:rsidRDefault="004E197D" w:rsidP="007B1B10">
      <w:pPr>
        <w:pStyle w:val="ListBullet2"/>
        <w:numPr>
          <w:ilvl w:val="0"/>
          <w:numId w:val="18"/>
        </w:numPr>
        <w:rPr>
          <w:rFonts w:eastAsia="Calibri"/>
        </w:rPr>
      </w:pPr>
      <w:r w:rsidRPr="00D21656">
        <w:rPr>
          <w:rFonts w:eastAsia="Calibri"/>
        </w:rPr>
        <w:t>Construction Skills Queensland</w:t>
      </w:r>
    </w:p>
    <w:p w14:paraId="7DA3BF81" w14:textId="77777777" w:rsidR="004E197D" w:rsidRPr="00D21656" w:rsidRDefault="004E197D" w:rsidP="007B1B10">
      <w:pPr>
        <w:pStyle w:val="ListBullet2"/>
        <w:numPr>
          <w:ilvl w:val="0"/>
          <w:numId w:val="18"/>
        </w:numPr>
        <w:rPr>
          <w:rFonts w:eastAsia="Calibri"/>
        </w:rPr>
      </w:pPr>
      <w:r w:rsidRPr="00D21656">
        <w:rPr>
          <w:rFonts w:eastAsia="Calibri"/>
        </w:rPr>
        <w:t>Queensland Resources Council</w:t>
      </w:r>
    </w:p>
    <w:p w14:paraId="0DF6B1B3" w14:textId="74C20AF1" w:rsidR="004E197D" w:rsidRPr="00D21656" w:rsidRDefault="004E197D" w:rsidP="007B1B10">
      <w:pPr>
        <w:pStyle w:val="ListBullet2"/>
        <w:numPr>
          <w:ilvl w:val="0"/>
          <w:numId w:val="18"/>
        </w:numPr>
        <w:rPr>
          <w:rFonts w:eastAsia="Calibri"/>
        </w:rPr>
      </w:pPr>
      <w:r w:rsidRPr="00D21656">
        <w:rPr>
          <w:rFonts w:eastAsia="Calibri"/>
        </w:rPr>
        <w:t>Griffith University</w:t>
      </w:r>
      <w:r w:rsidR="00956006" w:rsidRPr="00D21656">
        <w:rPr>
          <w:rFonts w:eastAsia="Calibri"/>
        </w:rPr>
        <w:t xml:space="preserve"> – the department partnered with Griffith University</w:t>
      </w:r>
      <w:r w:rsidRPr="00D21656">
        <w:rPr>
          <w:rFonts w:eastAsia="Calibri"/>
        </w:rPr>
        <w:t xml:space="preserve"> to explore new strategies in sustainable water management, and sustainable tourism in communities.</w:t>
      </w:r>
    </w:p>
    <w:p w14:paraId="4C0BE0FD" w14:textId="24F78AAB" w:rsidR="004E197D" w:rsidRPr="007744C2" w:rsidRDefault="004E197D" w:rsidP="007744C2">
      <w:pPr>
        <w:pStyle w:val="ListBullet"/>
        <w:rPr>
          <w:rFonts w:eastAsia="Calibri"/>
        </w:rPr>
      </w:pPr>
      <w:r w:rsidRPr="007744C2">
        <w:rPr>
          <w:rFonts w:eastAsia="Calibri"/>
        </w:rPr>
        <w:t>worked collaboratively with</w:t>
      </w:r>
      <w:r w:rsidR="00606E46" w:rsidRPr="007744C2">
        <w:rPr>
          <w:rFonts w:eastAsia="Calibri"/>
        </w:rPr>
        <w:t xml:space="preserve"> the following</w:t>
      </w:r>
      <w:r w:rsidRPr="007744C2">
        <w:rPr>
          <w:rFonts w:eastAsia="Calibri"/>
        </w:rPr>
        <w:t xml:space="preserve"> industry partners to deliver activities aimed at increasing Aboriginal and Torres Strait Islander economic participation:</w:t>
      </w:r>
    </w:p>
    <w:p w14:paraId="7EC33641" w14:textId="77777777" w:rsidR="004E197D" w:rsidRPr="00D21656" w:rsidRDefault="004E197D" w:rsidP="007B1B10">
      <w:pPr>
        <w:pStyle w:val="ListBullet2"/>
        <w:numPr>
          <w:ilvl w:val="0"/>
          <w:numId w:val="19"/>
        </w:numPr>
        <w:rPr>
          <w:rFonts w:eastAsia="Calibri"/>
        </w:rPr>
      </w:pPr>
      <w:bookmarkStart w:id="81" w:name="_Toc67046693"/>
      <w:r w:rsidRPr="00D21656">
        <w:rPr>
          <w:rFonts w:eastAsia="Calibri"/>
        </w:rPr>
        <w:t>Rio Tinto-Weipa operations</w:t>
      </w:r>
    </w:p>
    <w:p w14:paraId="22054E7B" w14:textId="77777777" w:rsidR="004E197D" w:rsidRPr="00D21656" w:rsidRDefault="004E197D" w:rsidP="007B1B10">
      <w:pPr>
        <w:pStyle w:val="ListBullet2"/>
        <w:numPr>
          <w:ilvl w:val="0"/>
          <w:numId w:val="19"/>
        </w:numPr>
        <w:rPr>
          <w:rFonts w:eastAsia="Calibri"/>
        </w:rPr>
      </w:pPr>
      <w:r w:rsidRPr="00D21656">
        <w:rPr>
          <w:rFonts w:eastAsia="Calibri"/>
        </w:rPr>
        <w:t>Clontarf Academy</w:t>
      </w:r>
    </w:p>
    <w:p w14:paraId="40A089B1" w14:textId="77777777" w:rsidR="004E197D" w:rsidRPr="00D21656" w:rsidRDefault="004E197D" w:rsidP="007B1B10">
      <w:pPr>
        <w:pStyle w:val="ListBullet2"/>
        <w:numPr>
          <w:ilvl w:val="0"/>
          <w:numId w:val="19"/>
        </w:numPr>
        <w:rPr>
          <w:rFonts w:eastAsia="Calibri"/>
        </w:rPr>
      </w:pPr>
      <w:r w:rsidRPr="00D21656">
        <w:rPr>
          <w:rFonts w:eastAsia="Calibri"/>
        </w:rPr>
        <w:t>Traditional Owner groups</w:t>
      </w:r>
    </w:p>
    <w:p w14:paraId="69CF304D" w14:textId="77777777" w:rsidR="004E197D" w:rsidRPr="00D21656" w:rsidRDefault="004E197D" w:rsidP="007B1B10">
      <w:pPr>
        <w:pStyle w:val="ListBullet2"/>
        <w:numPr>
          <w:ilvl w:val="0"/>
          <w:numId w:val="19"/>
        </w:numPr>
        <w:rPr>
          <w:rFonts w:eastAsia="Calibri"/>
        </w:rPr>
      </w:pPr>
      <w:r w:rsidRPr="00D21656">
        <w:rPr>
          <w:rFonts w:eastAsia="Calibri"/>
        </w:rPr>
        <w:t>Construction Skills Queensland</w:t>
      </w:r>
    </w:p>
    <w:p w14:paraId="4C7CF47B" w14:textId="77777777" w:rsidR="004E197D" w:rsidRPr="00D21656" w:rsidRDefault="004E197D" w:rsidP="007B1B10">
      <w:pPr>
        <w:pStyle w:val="ListBullet2"/>
        <w:numPr>
          <w:ilvl w:val="0"/>
          <w:numId w:val="19"/>
        </w:numPr>
        <w:rPr>
          <w:rFonts w:eastAsia="Calibri"/>
        </w:rPr>
      </w:pPr>
      <w:r w:rsidRPr="00D21656">
        <w:rPr>
          <w:rFonts w:eastAsia="Calibri"/>
        </w:rPr>
        <w:t>Many Rivers</w:t>
      </w:r>
    </w:p>
    <w:p w14:paraId="70BBEBD8" w14:textId="77777777" w:rsidR="004E197D" w:rsidRPr="00D21656" w:rsidRDefault="004E197D" w:rsidP="007B1B10">
      <w:pPr>
        <w:pStyle w:val="ListBullet2"/>
        <w:numPr>
          <w:ilvl w:val="0"/>
          <w:numId w:val="19"/>
        </w:numPr>
        <w:rPr>
          <w:rFonts w:eastAsia="Calibri"/>
        </w:rPr>
      </w:pPr>
      <w:r w:rsidRPr="00D21656">
        <w:rPr>
          <w:rFonts w:eastAsia="Calibri"/>
        </w:rPr>
        <w:t xml:space="preserve">Community Development providers </w:t>
      </w:r>
    </w:p>
    <w:p w14:paraId="7453C383" w14:textId="77777777" w:rsidR="004E197D" w:rsidRPr="00D21656" w:rsidRDefault="004E197D" w:rsidP="007B1B10">
      <w:pPr>
        <w:pStyle w:val="ListBullet2"/>
        <w:numPr>
          <w:ilvl w:val="0"/>
          <w:numId w:val="19"/>
        </w:numPr>
        <w:rPr>
          <w:rFonts w:eastAsia="Calibri"/>
        </w:rPr>
      </w:pPr>
      <w:r w:rsidRPr="00D21656">
        <w:rPr>
          <w:rFonts w:eastAsia="Calibri"/>
        </w:rPr>
        <w:t>Job Services Australia providers</w:t>
      </w:r>
    </w:p>
    <w:p w14:paraId="4C807725" w14:textId="77777777" w:rsidR="004E197D" w:rsidRPr="00D21656" w:rsidRDefault="004E197D" w:rsidP="007B1B10">
      <w:pPr>
        <w:pStyle w:val="ListBullet2"/>
        <w:numPr>
          <w:ilvl w:val="0"/>
          <w:numId w:val="19"/>
        </w:numPr>
        <w:rPr>
          <w:rFonts w:eastAsia="Calibri"/>
        </w:rPr>
      </w:pPr>
      <w:r w:rsidRPr="00D21656">
        <w:rPr>
          <w:rFonts w:eastAsia="Calibri"/>
        </w:rPr>
        <w:t>Principal Contractors awarded contracts within the discrete communities.</w:t>
      </w:r>
    </w:p>
    <w:p w14:paraId="77679856" w14:textId="09BEA1B1" w:rsidR="004E197D" w:rsidRPr="007744C2" w:rsidRDefault="00956006" w:rsidP="007744C2">
      <w:pPr>
        <w:pStyle w:val="ListBullet"/>
        <w:rPr>
          <w:rFonts w:eastAsia="Calibri"/>
        </w:rPr>
      </w:pPr>
      <w:r w:rsidRPr="007744C2">
        <w:rPr>
          <w:rFonts w:eastAsia="Calibri"/>
        </w:rPr>
        <w:t>provided advice and support to industry partners including:</w:t>
      </w:r>
    </w:p>
    <w:p w14:paraId="6C16B4FE" w14:textId="76838A4E" w:rsidR="004E197D" w:rsidRPr="00D21656" w:rsidRDefault="00956006" w:rsidP="007B1B10">
      <w:pPr>
        <w:pStyle w:val="ListBullet2"/>
        <w:numPr>
          <w:ilvl w:val="0"/>
          <w:numId w:val="20"/>
        </w:numPr>
        <w:rPr>
          <w:rFonts w:eastAsia="Calibri"/>
        </w:rPr>
      </w:pPr>
      <w:r w:rsidRPr="00D21656">
        <w:rPr>
          <w:rFonts w:eastAsia="Calibri"/>
        </w:rPr>
        <w:t xml:space="preserve">delivering </w:t>
      </w:r>
      <w:r w:rsidR="004E197D" w:rsidRPr="00D21656">
        <w:rPr>
          <w:rFonts w:eastAsia="Calibri"/>
        </w:rPr>
        <w:t>best practice forums and webinars on Aboriginal and Torres Strait Islander employment and training</w:t>
      </w:r>
      <w:r w:rsidRPr="00D21656">
        <w:rPr>
          <w:rFonts w:eastAsia="Calibri"/>
        </w:rPr>
        <w:t>, and</w:t>
      </w:r>
      <w:r w:rsidR="004E197D" w:rsidRPr="00D21656">
        <w:rPr>
          <w:rFonts w:eastAsia="Calibri"/>
        </w:rPr>
        <w:t xml:space="preserve"> increasing procurement from </w:t>
      </w:r>
      <w:r w:rsidR="00606E46" w:rsidRPr="00D21656">
        <w:rPr>
          <w:rFonts w:eastAsia="Calibri"/>
        </w:rPr>
        <w:t>Aboriginal and Torres Strait Islander</w:t>
      </w:r>
      <w:r w:rsidR="004E197D" w:rsidRPr="00D21656">
        <w:rPr>
          <w:rFonts w:eastAsia="Calibri"/>
        </w:rPr>
        <w:t xml:space="preserve"> businesses</w:t>
      </w:r>
    </w:p>
    <w:p w14:paraId="3E2A6783" w14:textId="1168EF43" w:rsidR="004E197D" w:rsidRPr="00D21656" w:rsidRDefault="00956006" w:rsidP="007B1B10">
      <w:pPr>
        <w:pStyle w:val="ListBullet2"/>
        <w:numPr>
          <w:ilvl w:val="0"/>
          <w:numId w:val="20"/>
        </w:numPr>
        <w:rPr>
          <w:rFonts w:eastAsia="Calibri"/>
        </w:rPr>
      </w:pPr>
      <w:r w:rsidRPr="00D21656">
        <w:rPr>
          <w:rFonts w:eastAsia="Calibri"/>
        </w:rPr>
        <w:t xml:space="preserve">conducting </w:t>
      </w:r>
      <w:r w:rsidR="004E197D" w:rsidRPr="00D21656">
        <w:rPr>
          <w:rFonts w:eastAsia="Calibri"/>
        </w:rPr>
        <w:t>meet the buyer events</w:t>
      </w:r>
    </w:p>
    <w:p w14:paraId="7BD1F483" w14:textId="013DD268" w:rsidR="004E197D" w:rsidRPr="00D21656" w:rsidRDefault="00956006" w:rsidP="007B1B10">
      <w:pPr>
        <w:pStyle w:val="ListBullet2"/>
        <w:numPr>
          <w:ilvl w:val="0"/>
          <w:numId w:val="20"/>
        </w:numPr>
        <w:rPr>
          <w:rFonts w:eastAsia="Calibri"/>
        </w:rPr>
      </w:pPr>
      <w:r w:rsidRPr="00D21656">
        <w:rPr>
          <w:rFonts w:eastAsia="Calibri"/>
        </w:rPr>
        <w:t xml:space="preserve">developing </w:t>
      </w:r>
      <w:r w:rsidR="004E197D" w:rsidRPr="00D21656">
        <w:rPr>
          <w:rFonts w:eastAsia="Calibri"/>
        </w:rPr>
        <w:t>practitioner guides</w:t>
      </w:r>
    </w:p>
    <w:p w14:paraId="409E4352" w14:textId="07F5C21F" w:rsidR="004E197D" w:rsidRPr="00D21656" w:rsidRDefault="00956006" w:rsidP="007B1B10">
      <w:pPr>
        <w:pStyle w:val="ListBullet2"/>
        <w:numPr>
          <w:ilvl w:val="0"/>
          <w:numId w:val="20"/>
        </w:numPr>
        <w:rPr>
          <w:rFonts w:eastAsia="Calibri"/>
        </w:rPr>
      </w:pPr>
      <w:r w:rsidRPr="00D21656">
        <w:rPr>
          <w:rFonts w:eastAsia="Calibri"/>
        </w:rPr>
        <w:t xml:space="preserve">providing </w:t>
      </w:r>
      <w:r w:rsidR="004E197D" w:rsidRPr="00D21656">
        <w:rPr>
          <w:rFonts w:eastAsia="Calibri"/>
        </w:rPr>
        <w:t>one-on-one assistance to companies with the development and implementation of Aboriginal and Torres Strait Islander participation strategies, plans and targets for their operations</w:t>
      </w:r>
    </w:p>
    <w:p w14:paraId="128972D7" w14:textId="0C82DF5D" w:rsidR="004E197D" w:rsidRPr="00D21656" w:rsidRDefault="00956006" w:rsidP="007B1B10">
      <w:pPr>
        <w:pStyle w:val="ListBullet2"/>
        <w:numPr>
          <w:ilvl w:val="0"/>
          <w:numId w:val="20"/>
        </w:numPr>
        <w:rPr>
          <w:rFonts w:eastAsia="Calibri"/>
        </w:rPr>
      </w:pPr>
      <w:r w:rsidRPr="00D21656">
        <w:rPr>
          <w:rFonts w:eastAsia="Calibri"/>
        </w:rPr>
        <w:t xml:space="preserve">promoting leading practices in </w:t>
      </w:r>
      <w:r w:rsidR="004E197D" w:rsidRPr="00D21656">
        <w:rPr>
          <w:rFonts w:eastAsia="Calibri"/>
        </w:rPr>
        <w:t>Aboriginal and Torres Strait Islander participation</w:t>
      </w:r>
      <w:r w:rsidRPr="00D21656">
        <w:rPr>
          <w:rFonts w:eastAsia="Calibri"/>
        </w:rPr>
        <w:t>,</w:t>
      </w:r>
      <w:r w:rsidR="004E197D" w:rsidRPr="00D21656">
        <w:rPr>
          <w:rFonts w:eastAsia="Calibri"/>
        </w:rPr>
        <w:t xml:space="preserve"> and good news stories</w:t>
      </w:r>
      <w:r w:rsidRPr="00D21656">
        <w:rPr>
          <w:rFonts w:eastAsia="Calibri"/>
        </w:rPr>
        <w:t>,</w:t>
      </w:r>
      <w:r w:rsidR="004E197D" w:rsidRPr="00D21656">
        <w:rPr>
          <w:rFonts w:eastAsia="Calibri"/>
        </w:rPr>
        <w:t xml:space="preserve"> through social media.</w:t>
      </w:r>
    </w:p>
    <w:p w14:paraId="3E07519C" w14:textId="77777777" w:rsidR="004E197D" w:rsidRPr="00E4449B" w:rsidRDefault="004E197D" w:rsidP="007524AB">
      <w:pPr>
        <w:pStyle w:val="Heading3"/>
      </w:pPr>
      <w:bookmarkStart w:id="82" w:name="_Toc78287386"/>
      <w:bookmarkStart w:id="83" w:name="_Toc78355793"/>
      <w:r w:rsidRPr="00E4449B">
        <w:t>Whole-of-government land tenure</w:t>
      </w:r>
      <w:bookmarkEnd w:id="81"/>
      <w:bookmarkEnd w:id="82"/>
      <w:bookmarkEnd w:id="83"/>
    </w:p>
    <w:p w14:paraId="39D2ADA8" w14:textId="77777777" w:rsidR="004E197D" w:rsidRPr="00E4449B" w:rsidRDefault="004E197D" w:rsidP="00D21656">
      <w:pPr>
        <w:rPr>
          <w:rFonts w:eastAsia="Calibri"/>
          <w:color w:val="414042"/>
          <w:spacing w:val="-1"/>
          <w:lang w:val="en-US" w:eastAsia="en-US"/>
        </w:rPr>
      </w:pPr>
      <w:r w:rsidRPr="00E4449B">
        <w:rPr>
          <w:rFonts w:eastAsia="Calibri"/>
          <w:w w:val="105"/>
          <w:lang w:val="en-US" w:eastAsia="en-US"/>
        </w:rPr>
        <w:t>The department provided whole-of-government advice on land tenure within the remote and discrete Aboriginal and Torres Strait Islander communities in Queensland, including enabling and providing current and future home ownership and leasing opportunities. This assistance also extends to supporting state agencies with tenure and Native Title advice, and coordination of such activities across the 34 remote and discrete Aboriginal and Torres Strait Islander communities.</w:t>
      </w:r>
    </w:p>
    <w:p w14:paraId="625CD3A8" w14:textId="218DDD62" w:rsidR="004E197D" w:rsidRPr="00E4449B" w:rsidRDefault="00E43202" w:rsidP="00D21656">
      <w:pPr>
        <w:pStyle w:val="Heading4"/>
      </w:pPr>
      <w:r>
        <w:br w:type="column"/>
      </w:r>
      <w:r w:rsidR="004E197D" w:rsidRPr="00E4449B">
        <w:lastRenderedPageBreak/>
        <w:t>Key achievements</w:t>
      </w:r>
    </w:p>
    <w:p w14:paraId="2AD8D277" w14:textId="77777777" w:rsidR="00326C8A" w:rsidRPr="00E4449B" w:rsidRDefault="00326C8A" w:rsidP="00D21656">
      <w:pPr>
        <w:rPr>
          <w:rFonts w:eastAsia="Calibri"/>
          <w:lang w:val="en-US" w:eastAsia="en-US"/>
        </w:rPr>
      </w:pPr>
      <w:r w:rsidRPr="00E4449B">
        <w:rPr>
          <w:rFonts w:eastAsia="Calibri"/>
          <w:lang w:val="en-US" w:eastAsia="en-US"/>
        </w:rPr>
        <w:t>During the reporting period, the</w:t>
      </w:r>
      <w:r w:rsidRPr="00E4449B">
        <w:rPr>
          <w:rFonts w:eastAsia="Calibri"/>
          <w:spacing w:val="-14"/>
          <w:lang w:val="en-US" w:eastAsia="en-US"/>
        </w:rPr>
        <w:t xml:space="preserve"> </w:t>
      </w:r>
      <w:r w:rsidRPr="00E4449B">
        <w:rPr>
          <w:rFonts w:eastAsia="Calibri"/>
          <w:spacing w:val="-1"/>
          <w:lang w:val="en-US" w:eastAsia="en-US"/>
        </w:rPr>
        <w:t>dep</w:t>
      </w:r>
      <w:r w:rsidRPr="00E4449B">
        <w:rPr>
          <w:rFonts w:eastAsia="Calibri"/>
          <w:spacing w:val="-2"/>
          <w:lang w:val="en-US" w:eastAsia="en-US"/>
        </w:rPr>
        <w:t>artment:</w:t>
      </w:r>
    </w:p>
    <w:p w14:paraId="4D9389C9" w14:textId="21FB2B89" w:rsidR="004E197D" w:rsidRPr="00D21656" w:rsidRDefault="001662AA" w:rsidP="00D21656">
      <w:pPr>
        <w:pStyle w:val="ListBullet"/>
      </w:pPr>
      <w:r w:rsidRPr="00D21656">
        <w:t xml:space="preserve">Provided </w:t>
      </w:r>
      <w:r w:rsidR="004E197D" w:rsidRPr="00D21656">
        <w:t>native title and tenure advice to all stakeholders across the 34 discrete remote communities</w:t>
      </w:r>
      <w:r w:rsidRPr="00D21656">
        <w:t>. This included:</w:t>
      </w:r>
      <w:r w:rsidR="004E197D" w:rsidRPr="00D21656">
        <w:t xml:space="preserve"> </w:t>
      </w:r>
    </w:p>
    <w:p w14:paraId="3019C1E8" w14:textId="2B0FF91F" w:rsidR="004E197D" w:rsidRPr="007744C2" w:rsidRDefault="001662AA" w:rsidP="007B1B10">
      <w:pPr>
        <w:pStyle w:val="ListBullet2"/>
        <w:numPr>
          <w:ilvl w:val="0"/>
          <w:numId w:val="21"/>
        </w:numPr>
      </w:pPr>
      <w:r w:rsidRPr="007744C2">
        <w:t xml:space="preserve">advice in relation to </w:t>
      </w:r>
      <w:r w:rsidR="004E197D" w:rsidRPr="007744C2">
        <w:t>Coen land development – supermarket development and use of existing reserve lands</w:t>
      </w:r>
    </w:p>
    <w:p w14:paraId="6730AB9C" w14:textId="1ED4EC9C" w:rsidR="004E197D" w:rsidRPr="007744C2" w:rsidRDefault="004E197D" w:rsidP="007B1B10">
      <w:pPr>
        <w:pStyle w:val="ListBullet2"/>
        <w:numPr>
          <w:ilvl w:val="0"/>
          <w:numId w:val="21"/>
        </w:numPr>
      </w:pPr>
      <w:r w:rsidRPr="007744C2">
        <w:t xml:space="preserve">tenure and native title advice to commence leasing the </w:t>
      </w:r>
      <w:proofErr w:type="spellStart"/>
      <w:r w:rsidRPr="007744C2">
        <w:t>Petford</w:t>
      </w:r>
      <w:proofErr w:type="spellEnd"/>
      <w:r w:rsidRPr="007744C2">
        <w:t xml:space="preserve"> reserve</w:t>
      </w:r>
    </w:p>
    <w:p w14:paraId="513460B4" w14:textId="33424DB8" w:rsidR="004E197D" w:rsidRPr="007744C2" w:rsidRDefault="004E197D" w:rsidP="007B1B10">
      <w:pPr>
        <w:pStyle w:val="ListBullet2"/>
        <w:numPr>
          <w:ilvl w:val="0"/>
          <w:numId w:val="21"/>
        </w:numPr>
      </w:pPr>
      <w:r w:rsidRPr="007744C2">
        <w:t xml:space="preserve">tenure and native title advice to </w:t>
      </w:r>
      <w:r w:rsidR="00ED2F79">
        <w:t xml:space="preserve">the </w:t>
      </w:r>
      <w:r w:rsidRPr="007744C2">
        <w:t>Department of Education for the development of the oval in Cherbourg</w:t>
      </w:r>
    </w:p>
    <w:p w14:paraId="616EBBD8" w14:textId="51240A39" w:rsidR="004E197D" w:rsidRPr="007744C2" w:rsidRDefault="001662AA" w:rsidP="007B1B10">
      <w:pPr>
        <w:pStyle w:val="ListBullet2"/>
        <w:numPr>
          <w:ilvl w:val="0"/>
          <w:numId w:val="21"/>
        </w:numPr>
      </w:pPr>
      <w:r w:rsidRPr="007744C2">
        <w:t>a</w:t>
      </w:r>
      <w:r w:rsidR="004E197D" w:rsidRPr="007744C2">
        <w:t>ssist</w:t>
      </w:r>
      <w:r w:rsidRPr="007744C2">
        <w:t xml:space="preserve">ing </w:t>
      </w:r>
      <w:proofErr w:type="spellStart"/>
      <w:r w:rsidR="004E197D" w:rsidRPr="007744C2">
        <w:t>QBuild</w:t>
      </w:r>
      <w:proofErr w:type="spellEnd"/>
      <w:r w:rsidR="004E197D" w:rsidRPr="007744C2">
        <w:t>, Department of Energy and Public Works, with the survey, tenure and native title advice for the development of the Murgon to Cherbourg walking track</w:t>
      </w:r>
    </w:p>
    <w:p w14:paraId="7029413B" w14:textId="0CB93A91" w:rsidR="004E197D" w:rsidRPr="007744C2" w:rsidRDefault="000933CC" w:rsidP="007B1B10">
      <w:pPr>
        <w:pStyle w:val="ListBullet2"/>
        <w:numPr>
          <w:ilvl w:val="0"/>
          <w:numId w:val="21"/>
        </w:numPr>
      </w:pPr>
      <w:r w:rsidRPr="007744C2">
        <w:t>p</w:t>
      </w:r>
      <w:r w:rsidR="004E197D" w:rsidRPr="007744C2">
        <w:t>rovid</w:t>
      </w:r>
      <w:r w:rsidR="001662AA" w:rsidRPr="007744C2">
        <w:t>ing</w:t>
      </w:r>
      <w:r w:rsidR="004E197D" w:rsidRPr="007744C2">
        <w:t xml:space="preserve"> the Department of Communities, Housing and Digital Economy with native title, tenure and survey advice for Badu Island for road works/upgrades to </w:t>
      </w:r>
      <w:r w:rsidR="00ED2F79">
        <w:t xml:space="preserve">the </w:t>
      </w:r>
      <w:r w:rsidR="004E197D" w:rsidRPr="007744C2">
        <w:t>adjoining school</w:t>
      </w:r>
    </w:p>
    <w:p w14:paraId="79B8669F" w14:textId="0C6BED34" w:rsidR="004E197D" w:rsidRPr="007744C2" w:rsidRDefault="000933CC" w:rsidP="007B1B10">
      <w:pPr>
        <w:pStyle w:val="ListBullet2"/>
        <w:numPr>
          <w:ilvl w:val="0"/>
          <w:numId w:val="21"/>
        </w:numPr>
      </w:pPr>
      <w:r w:rsidRPr="007744C2">
        <w:t>p</w:t>
      </w:r>
      <w:r w:rsidR="004E197D" w:rsidRPr="007744C2">
        <w:t>rovid</w:t>
      </w:r>
      <w:r w:rsidR="001662AA" w:rsidRPr="007744C2">
        <w:t>ing</w:t>
      </w:r>
      <w:r w:rsidR="004E197D" w:rsidRPr="007744C2">
        <w:t xml:space="preserve"> the Department of Communities, Housing and Digital Economy with tenure and native title advice on a road closure application near Cairns</w:t>
      </w:r>
    </w:p>
    <w:p w14:paraId="3245DB12" w14:textId="48B028A8" w:rsidR="004E197D" w:rsidRPr="007744C2" w:rsidRDefault="000933CC" w:rsidP="007B1B10">
      <w:pPr>
        <w:pStyle w:val="ListBullet2"/>
        <w:numPr>
          <w:ilvl w:val="0"/>
          <w:numId w:val="21"/>
        </w:numPr>
      </w:pPr>
      <w:r w:rsidRPr="007744C2">
        <w:t>a</w:t>
      </w:r>
      <w:r w:rsidR="004E197D" w:rsidRPr="007744C2">
        <w:t>ssist</w:t>
      </w:r>
      <w:r w:rsidR="001662AA" w:rsidRPr="007744C2">
        <w:t>ing</w:t>
      </w:r>
      <w:r w:rsidR="004E197D" w:rsidRPr="007744C2">
        <w:t xml:space="preserve"> the Queensland Police Service with the closure of an area of road for the inclusion into the police reserve – application managed through the Department of Resources</w:t>
      </w:r>
    </w:p>
    <w:p w14:paraId="3CF21E60" w14:textId="30CF4E19" w:rsidR="004E197D" w:rsidRPr="007744C2" w:rsidRDefault="000933CC" w:rsidP="007B1B10">
      <w:pPr>
        <w:pStyle w:val="ListBullet2"/>
        <w:numPr>
          <w:ilvl w:val="0"/>
          <w:numId w:val="21"/>
        </w:numPr>
      </w:pPr>
      <w:r w:rsidRPr="007744C2">
        <w:t>p</w:t>
      </w:r>
      <w:r w:rsidR="004E197D" w:rsidRPr="007744C2">
        <w:t>rovid</w:t>
      </w:r>
      <w:r w:rsidR="001662AA" w:rsidRPr="007744C2">
        <w:t>ing</w:t>
      </w:r>
      <w:r w:rsidR="004E197D" w:rsidRPr="007744C2">
        <w:t xml:space="preserve"> the Department of Communities, Housing and Digital Economy with leasing advice for the construct of program specific agreements to facilitate the leasing of social housing under the Commonwealth’s $105 Million for social housing program.</w:t>
      </w:r>
    </w:p>
    <w:p w14:paraId="2F8424BD" w14:textId="315938EE" w:rsidR="004E197D" w:rsidRPr="00D21656" w:rsidRDefault="001662AA" w:rsidP="00D21656">
      <w:pPr>
        <w:pStyle w:val="ListBullet"/>
      </w:pPr>
      <w:r w:rsidRPr="00D21656">
        <w:t xml:space="preserve">Provided </w:t>
      </w:r>
      <w:r w:rsidR="004E197D" w:rsidRPr="00CB04BB">
        <w:rPr>
          <w:i/>
          <w:iCs/>
        </w:rPr>
        <w:t>Native Title Act 1993</w:t>
      </w:r>
      <w:r w:rsidR="004E197D" w:rsidRPr="00D21656">
        <w:t xml:space="preserve"> Section 24JAA advice and commenced the notification process for:</w:t>
      </w:r>
    </w:p>
    <w:p w14:paraId="7B8234A8" w14:textId="2914849B" w:rsidR="004E197D" w:rsidRPr="007744C2" w:rsidRDefault="004E197D" w:rsidP="007B1B10">
      <w:pPr>
        <w:pStyle w:val="ListBullet"/>
        <w:numPr>
          <w:ilvl w:val="0"/>
          <w:numId w:val="22"/>
        </w:numPr>
      </w:pPr>
      <w:proofErr w:type="spellStart"/>
      <w:r w:rsidRPr="007744C2">
        <w:t>Wujal</w:t>
      </w:r>
      <w:proofErr w:type="spellEnd"/>
      <w:r w:rsidRPr="007744C2">
        <w:t xml:space="preserve"> </w:t>
      </w:r>
      <w:proofErr w:type="spellStart"/>
      <w:r w:rsidRPr="007744C2">
        <w:t>Wujal</w:t>
      </w:r>
      <w:proofErr w:type="spellEnd"/>
      <w:r w:rsidRPr="007744C2">
        <w:t xml:space="preserve"> Police </w:t>
      </w:r>
      <w:r w:rsidR="001C6D95" w:rsidRPr="007744C2">
        <w:t>S</w:t>
      </w:r>
      <w:r w:rsidRPr="007744C2">
        <w:t>ervice</w:t>
      </w:r>
    </w:p>
    <w:p w14:paraId="4D2B149B" w14:textId="77777777" w:rsidR="004E197D" w:rsidRPr="007744C2" w:rsidRDefault="004E197D" w:rsidP="007B1B10">
      <w:pPr>
        <w:pStyle w:val="ListBullet"/>
        <w:numPr>
          <w:ilvl w:val="0"/>
          <w:numId w:val="22"/>
        </w:numPr>
      </w:pPr>
      <w:proofErr w:type="spellStart"/>
      <w:r w:rsidRPr="007744C2">
        <w:t>Wujal</w:t>
      </w:r>
      <w:proofErr w:type="spellEnd"/>
      <w:r w:rsidRPr="007744C2">
        <w:t xml:space="preserve"> </w:t>
      </w:r>
      <w:proofErr w:type="spellStart"/>
      <w:r w:rsidRPr="007744C2">
        <w:t>Wujal</w:t>
      </w:r>
      <w:proofErr w:type="spellEnd"/>
      <w:r w:rsidRPr="007744C2">
        <w:t xml:space="preserve"> Social Housing</w:t>
      </w:r>
    </w:p>
    <w:p w14:paraId="08C256A7" w14:textId="77777777" w:rsidR="004E197D" w:rsidRPr="007744C2" w:rsidRDefault="004E197D" w:rsidP="007B1B10">
      <w:pPr>
        <w:pStyle w:val="ListBullet"/>
        <w:numPr>
          <w:ilvl w:val="0"/>
          <w:numId w:val="22"/>
        </w:numPr>
      </w:pPr>
      <w:proofErr w:type="spellStart"/>
      <w:r w:rsidRPr="007744C2">
        <w:t>Wujal</w:t>
      </w:r>
      <w:proofErr w:type="spellEnd"/>
      <w:r w:rsidRPr="007744C2">
        <w:t xml:space="preserve"> </w:t>
      </w:r>
      <w:proofErr w:type="spellStart"/>
      <w:r w:rsidRPr="007744C2">
        <w:t>Wujal</w:t>
      </w:r>
      <w:proofErr w:type="spellEnd"/>
      <w:r w:rsidRPr="007744C2">
        <w:t xml:space="preserve"> Aged Care</w:t>
      </w:r>
    </w:p>
    <w:p w14:paraId="2282FE11" w14:textId="77777777" w:rsidR="004E197D" w:rsidRPr="007744C2" w:rsidRDefault="004E197D" w:rsidP="007B1B10">
      <w:pPr>
        <w:pStyle w:val="ListBullet"/>
        <w:numPr>
          <w:ilvl w:val="0"/>
          <w:numId w:val="22"/>
        </w:numPr>
      </w:pPr>
      <w:r w:rsidRPr="007744C2">
        <w:t>Woorabinda Police Service</w:t>
      </w:r>
    </w:p>
    <w:p w14:paraId="16598AE6" w14:textId="77777777" w:rsidR="004E197D" w:rsidRPr="007744C2" w:rsidRDefault="004E197D" w:rsidP="007B1B10">
      <w:pPr>
        <w:pStyle w:val="ListBullet"/>
        <w:numPr>
          <w:ilvl w:val="0"/>
          <w:numId w:val="22"/>
        </w:numPr>
      </w:pPr>
      <w:r w:rsidRPr="007744C2">
        <w:t>Woorabinda Social Housing (additional housing for the Commonwealth allocation).</w:t>
      </w:r>
    </w:p>
    <w:p w14:paraId="0432604A" w14:textId="77777777" w:rsidR="004E197D" w:rsidRPr="00E4449B" w:rsidRDefault="004E197D" w:rsidP="007524AB">
      <w:pPr>
        <w:pStyle w:val="Heading3"/>
      </w:pPr>
      <w:bookmarkStart w:id="84" w:name="_Toc67046694"/>
      <w:bookmarkStart w:id="85" w:name="_Toc78287387"/>
      <w:bookmarkStart w:id="86" w:name="_Toc78355794"/>
      <w:r w:rsidRPr="00E4449B">
        <w:t>Home ownership</w:t>
      </w:r>
      <w:bookmarkEnd w:id="84"/>
      <w:bookmarkEnd w:id="85"/>
      <w:bookmarkEnd w:id="86"/>
    </w:p>
    <w:p w14:paraId="1BA4BC58" w14:textId="77777777" w:rsidR="004E197D" w:rsidRPr="00E4449B" w:rsidRDefault="004E197D" w:rsidP="00D21656">
      <w:pPr>
        <w:rPr>
          <w:rFonts w:eastAsia="Calibri"/>
          <w:w w:val="105"/>
          <w:lang w:val="en-US" w:eastAsia="en-US"/>
        </w:rPr>
      </w:pPr>
      <w:r w:rsidRPr="00E4449B">
        <w:rPr>
          <w:rFonts w:eastAsia="Calibri"/>
          <w:w w:val="105"/>
          <w:lang w:val="en-US" w:eastAsia="en-US"/>
        </w:rPr>
        <w:t>The department facilitates home ownership pathways for Aboriginal and Torres Strait Islander Queenslanders in targeted communities throughout Queensland.</w:t>
      </w:r>
    </w:p>
    <w:p w14:paraId="19DA3E0F" w14:textId="77777777" w:rsidR="004E197D" w:rsidRPr="00E4449B" w:rsidRDefault="004E197D" w:rsidP="00A8341C">
      <w:pPr>
        <w:pStyle w:val="Heading4"/>
      </w:pPr>
      <w:r w:rsidRPr="00E4449B">
        <w:t xml:space="preserve">Key achievements </w:t>
      </w:r>
    </w:p>
    <w:p w14:paraId="3066B428" w14:textId="348E2C33" w:rsidR="00D175D3" w:rsidRPr="00E4449B" w:rsidRDefault="001662AA" w:rsidP="00D21656">
      <w:pPr>
        <w:rPr>
          <w:rFonts w:eastAsia="Calibri"/>
          <w:lang w:val="en-US" w:eastAsia="en-US"/>
        </w:rPr>
      </w:pPr>
      <w:r w:rsidRPr="00E4449B">
        <w:rPr>
          <w:rFonts w:eastAsia="Calibri"/>
          <w:w w:val="105"/>
          <w:lang w:val="en-US" w:eastAsia="en-US"/>
        </w:rPr>
        <w:t>During the reporting period</w:t>
      </w:r>
      <w:r w:rsidR="00D175D3" w:rsidRPr="00E4449B">
        <w:rPr>
          <w:rFonts w:eastAsia="Calibri"/>
          <w:w w:val="105"/>
          <w:lang w:val="en-US" w:eastAsia="en-US"/>
        </w:rPr>
        <w:t xml:space="preserve"> 13 November 2020 to 30 June 2021</w:t>
      </w:r>
      <w:r w:rsidRPr="00E4449B">
        <w:rPr>
          <w:rFonts w:eastAsia="Calibri"/>
          <w:w w:val="105"/>
          <w:lang w:val="en-US" w:eastAsia="en-US"/>
        </w:rPr>
        <w:t>, t</w:t>
      </w:r>
      <w:r w:rsidR="004E197D" w:rsidRPr="00E4449B">
        <w:rPr>
          <w:rFonts w:eastAsia="Calibri"/>
          <w:w w:val="105"/>
          <w:lang w:val="en-US" w:eastAsia="en-US"/>
        </w:rPr>
        <w:t>he department</w:t>
      </w:r>
      <w:r w:rsidRPr="00E4449B">
        <w:rPr>
          <w:rFonts w:eastAsia="Calibri"/>
          <w:w w:val="105"/>
          <w:lang w:val="en-US" w:eastAsia="en-US"/>
        </w:rPr>
        <w:t>:</w:t>
      </w:r>
    </w:p>
    <w:p w14:paraId="37B6A880" w14:textId="1FF93C85" w:rsidR="004E197D" w:rsidRDefault="000933CC" w:rsidP="00DA7C25">
      <w:pPr>
        <w:pStyle w:val="ListBullet"/>
        <w:spacing w:after="240"/>
        <w:ind w:left="357" w:hanging="357"/>
        <w:contextualSpacing w:val="0"/>
        <w:rPr>
          <w:rFonts w:eastAsia="Calibri"/>
        </w:rPr>
      </w:pPr>
      <w:r w:rsidRPr="00D21656">
        <w:rPr>
          <w:rFonts w:eastAsia="Calibri"/>
        </w:rPr>
        <w:t>m</w:t>
      </w:r>
      <w:r w:rsidR="004E197D" w:rsidRPr="00D21656">
        <w:rPr>
          <w:rFonts w:eastAsia="Calibri"/>
        </w:rPr>
        <w:t>ade available 19 houses for ownership by Aboriginal peoples and Torres Strait Islander peoples in targeted communities through Queensland Government investment</w:t>
      </w:r>
      <w:r w:rsidR="00861AB3" w:rsidRPr="00D21656">
        <w:rPr>
          <w:rFonts w:eastAsia="Calibri"/>
        </w:rPr>
        <w:t>.</w:t>
      </w:r>
    </w:p>
    <w:p w14:paraId="37937057" w14:textId="40A4FA32" w:rsidR="0039123E" w:rsidRDefault="0039123E" w:rsidP="0039123E">
      <w:pPr>
        <w:pStyle w:val="Heading4"/>
      </w:pPr>
      <w:r w:rsidRPr="00DA7C25">
        <w:t>Performance measure</w:t>
      </w:r>
    </w:p>
    <w:p w14:paraId="141F1AB9" w14:textId="5535B5A8" w:rsidR="0039123E" w:rsidRPr="0039123E" w:rsidRDefault="0039123E" w:rsidP="0039123E">
      <w:pPr>
        <w:rPr>
          <w:rFonts w:eastAsia="Calibri"/>
          <w:w w:val="105"/>
          <w:lang w:val="en-US" w:eastAsia="en-US"/>
        </w:rPr>
      </w:pPr>
      <w:r w:rsidRPr="0039123E">
        <w:rPr>
          <w:rFonts w:eastAsia="Calibri"/>
          <w:w w:val="105"/>
          <w:lang w:val="en-US" w:eastAsia="en-US"/>
        </w:rPr>
        <w:t>Number of houses made available for ownership by Aboriginal peoples and Torres Strait Islander peoples in targeted communities through Queensland Government investment</w:t>
      </w:r>
    </w:p>
    <w:tbl>
      <w:tblPr>
        <w:tblStyle w:val="TableGrid61"/>
        <w:tblW w:w="0" w:type="auto"/>
        <w:tblLook w:val="04A0" w:firstRow="1" w:lastRow="0" w:firstColumn="1" w:lastColumn="0" w:noHBand="0" w:noVBand="1"/>
      </w:tblPr>
      <w:tblGrid>
        <w:gridCol w:w="1696"/>
        <w:gridCol w:w="1985"/>
        <w:gridCol w:w="2126"/>
      </w:tblGrid>
      <w:tr w:rsidR="00DA7C25" w14:paraId="26CB39DA" w14:textId="77777777" w:rsidTr="00DA7C25">
        <w:tc>
          <w:tcPr>
            <w:tcW w:w="1696" w:type="dxa"/>
            <w:shd w:val="clear" w:color="auto" w:fill="EBEBEC"/>
          </w:tcPr>
          <w:p w14:paraId="0EDC29C0" w14:textId="04CA51E4" w:rsidR="00DA7C25" w:rsidRPr="00DA7C25" w:rsidRDefault="00DA7C25" w:rsidP="00DA7C25">
            <w:pPr>
              <w:pStyle w:val="ListBullet"/>
              <w:numPr>
                <w:ilvl w:val="0"/>
                <w:numId w:val="0"/>
              </w:numPr>
              <w:rPr>
                <w:rFonts w:ascii="Arial" w:hAnsi="Arial"/>
              </w:rPr>
            </w:pPr>
            <w:r w:rsidRPr="00DA7C25">
              <w:rPr>
                <w:rFonts w:ascii="Arial" w:hAnsi="Arial"/>
                <w:b/>
                <w:bCs/>
              </w:rPr>
              <w:t>Year</w:t>
            </w:r>
          </w:p>
        </w:tc>
        <w:tc>
          <w:tcPr>
            <w:tcW w:w="1985" w:type="dxa"/>
            <w:shd w:val="clear" w:color="auto" w:fill="EBEBEC"/>
          </w:tcPr>
          <w:p w14:paraId="2F3A5922" w14:textId="559126A4" w:rsidR="00DA7C25" w:rsidRPr="00DA7C25" w:rsidRDefault="00DA7C25" w:rsidP="00DA7C25">
            <w:pPr>
              <w:pStyle w:val="ListBullet"/>
              <w:numPr>
                <w:ilvl w:val="0"/>
                <w:numId w:val="0"/>
              </w:numPr>
              <w:rPr>
                <w:rFonts w:ascii="Arial" w:hAnsi="Arial"/>
              </w:rPr>
            </w:pPr>
            <w:r w:rsidRPr="00DA7C25">
              <w:rPr>
                <w:rFonts w:ascii="Arial" w:hAnsi="Arial"/>
                <w:b/>
                <w:bCs/>
              </w:rPr>
              <w:t>Target</w:t>
            </w:r>
          </w:p>
        </w:tc>
        <w:tc>
          <w:tcPr>
            <w:tcW w:w="2126" w:type="dxa"/>
            <w:shd w:val="clear" w:color="auto" w:fill="EBEBEC"/>
          </w:tcPr>
          <w:p w14:paraId="6C7A3189" w14:textId="11838E8F" w:rsidR="00DA7C25" w:rsidRPr="00DA7C25" w:rsidRDefault="00DA7C25" w:rsidP="00DA7C25">
            <w:pPr>
              <w:pStyle w:val="ListBullet"/>
              <w:numPr>
                <w:ilvl w:val="0"/>
                <w:numId w:val="0"/>
              </w:numPr>
              <w:rPr>
                <w:rFonts w:ascii="Arial" w:hAnsi="Arial"/>
              </w:rPr>
            </w:pPr>
            <w:r w:rsidRPr="00DA7C25">
              <w:rPr>
                <w:rFonts w:ascii="Arial" w:hAnsi="Arial"/>
                <w:b/>
                <w:bCs/>
              </w:rPr>
              <w:t>Actual</w:t>
            </w:r>
          </w:p>
        </w:tc>
      </w:tr>
      <w:tr w:rsidR="00DA7C25" w14:paraId="3300A19C" w14:textId="77777777" w:rsidTr="00DA7C25">
        <w:tc>
          <w:tcPr>
            <w:tcW w:w="1696" w:type="dxa"/>
          </w:tcPr>
          <w:p w14:paraId="5D771505" w14:textId="7112F54C" w:rsidR="00DA7C25" w:rsidRPr="00DA7C25" w:rsidRDefault="00DA7C25" w:rsidP="00DA7C25">
            <w:pPr>
              <w:pStyle w:val="ListBullet"/>
              <w:numPr>
                <w:ilvl w:val="0"/>
                <w:numId w:val="0"/>
              </w:numPr>
              <w:rPr>
                <w:rFonts w:ascii="Arial" w:hAnsi="Arial"/>
              </w:rPr>
            </w:pPr>
            <w:r w:rsidRPr="00DA7C25">
              <w:rPr>
                <w:rFonts w:ascii="Arial" w:hAnsi="Arial"/>
              </w:rPr>
              <w:t>2020–2021*</w:t>
            </w:r>
          </w:p>
        </w:tc>
        <w:tc>
          <w:tcPr>
            <w:tcW w:w="1985" w:type="dxa"/>
          </w:tcPr>
          <w:p w14:paraId="3C6E3CD4" w14:textId="157CB448" w:rsidR="00DA7C25" w:rsidRPr="00DA7C25" w:rsidRDefault="00DA7C25" w:rsidP="00DA7C25">
            <w:pPr>
              <w:pStyle w:val="ListBullet"/>
              <w:numPr>
                <w:ilvl w:val="0"/>
                <w:numId w:val="0"/>
              </w:numPr>
              <w:rPr>
                <w:rFonts w:ascii="Arial" w:hAnsi="Arial"/>
              </w:rPr>
            </w:pPr>
            <w:r w:rsidRPr="00DA7C25">
              <w:rPr>
                <w:rFonts w:ascii="Arial" w:hAnsi="Arial"/>
              </w:rPr>
              <w:t>30</w:t>
            </w:r>
          </w:p>
        </w:tc>
        <w:tc>
          <w:tcPr>
            <w:tcW w:w="2126" w:type="dxa"/>
          </w:tcPr>
          <w:p w14:paraId="6C206CF3" w14:textId="60EB4F9C" w:rsidR="00DA7C25" w:rsidRPr="00DA7C25" w:rsidRDefault="00DA7C25" w:rsidP="00DA7C25">
            <w:pPr>
              <w:pStyle w:val="ListBullet"/>
              <w:numPr>
                <w:ilvl w:val="0"/>
                <w:numId w:val="0"/>
              </w:numPr>
              <w:rPr>
                <w:rFonts w:ascii="Arial" w:hAnsi="Arial"/>
              </w:rPr>
            </w:pPr>
            <w:r w:rsidRPr="00DA7C25">
              <w:rPr>
                <w:rFonts w:ascii="Arial" w:hAnsi="Arial"/>
              </w:rPr>
              <w:t>19*</w:t>
            </w:r>
          </w:p>
        </w:tc>
      </w:tr>
    </w:tbl>
    <w:p w14:paraId="7E733596" w14:textId="1EB9CCA8" w:rsidR="00FE102A" w:rsidRDefault="004079B4" w:rsidP="00DA7C25">
      <w:pPr>
        <w:pStyle w:val="ListBullet"/>
        <w:numPr>
          <w:ilvl w:val="0"/>
          <w:numId w:val="0"/>
        </w:numPr>
        <w:spacing w:after="0" w:line="240" w:lineRule="auto"/>
        <w:rPr>
          <w:sz w:val="18"/>
          <w:szCs w:val="18"/>
        </w:rPr>
      </w:pPr>
      <w:bookmarkStart w:id="87" w:name="_Toc67046695"/>
      <w:bookmarkStart w:id="88" w:name="_Toc78287388"/>
      <w:bookmarkStart w:id="89" w:name="_Toc78355795"/>
      <w:r w:rsidRPr="0004484D">
        <w:rPr>
          <w:sz w:val="18"/>
          <w:szCs w:val="18"/>
        </w:rPr>
        <w:t xml:space="preserve">* </w:t>
      </w:r>
      <w:r w:rsidR="0004484D" w:rsidRPr="0004484D">
        <w:rPr>
          <w:sz w:val="18"/>
          <w:szCs w:val="18"/>
        </w:rPr>
        <w:t>Performance information for</w:t>
      </w:r>
      <w:r w:rsidRPr="0004484D">
        <w:rPr>
          <w:sz w:val="18"/>
          <w:szCs w:val="18"/>
        </w:rPr>
        <w:t xml:space="preserve"> 13 November 2020 to 30 June 2021</w:t>
      </w:r>
      <w:r w:rsidR="0004484D" w:rsidRPr="0004484D">
        <w:rPr>
          <w:sz w:val="18"/>
          <w:szCs w:val="18"/>
        </w:rPr>
        <w:t xml:space="preserve"> reporting period</w:t>
      </w:r>
      <w:r w:rsidRPr="0004484D">
        <w:rPr>
          <w:sz w:val="18"/>
          <w:szCs w:val="18"/>
        </w:rPr>
        <w:t>.</w:t>
      </w:r>
    </w:p>
    <w:p w14:paraId="0E083B2E" w14:textId="77777777" w:rsidR="00CB04BB" w:rsidRPr="00CB04BB" w:rsidRDefault="00CB04BB" w:rsidP="00CB04BB">
      <w:pPr>
        <w:pStyle w:val="ListBullet"/>
        <w:numPr>
          <w:ilvl w:val="0"/>
          <w:numId w:val="0"/>
        </w:numPr>
        <w:rPr>
          <w:sz w:val="18"/>
          <w:szCs w:val="18"/>
        </w:rPr>
      </w:pPr>
      <w:r w:rsidRPr="00CB04BB">
        <w:rPr>
          <w:sz w:val="18"/>
          <w:szCs w:val="18"/>
        </w:rPr>
        <w:t>Additionally, the former Department of Aboriginal and Torres Strait Islander Partnerships</w:t>
      </w:r>
    </w:p>
    <w:p w14:paraId="6CD3126C" w14:textId="77777777" w:rsidR="00CB04BB" w:rsidRPr="00CB04BB" w:rsidRDefault="00CB04BB" w:rsidP="00CB04BB">
      <w:pPr>
        <w:pStyle w:val="ListBullet"/>
        <w:numPr>
          <w:ilvl w:val="0"/>
          <w:numId w:val="0"/>
        </w:numPr>
        <w:rPr>
          <w:sz w:val="18"/>
          <w:szCs w:val="18"/>
        </w:rPr>
      </w:pPr>
      <w:r w:rsidRPr="00CB04BB">
        <w:rPr>
          <w:sz w:val="18"/>
          <w:szCs w:val="18"/>
        </w:rPr>
        <w:t>reported that the number of houses made available for ownership by Aboriginal</w:t>
      </w:r>
    </w:p>
    <w:p w14:paraId="7876BAB5" w14:textId="77777777" w:rsidR="00CB04BB" w:rsidRPr="00CB04BB" w:rsidRDefault="00CB04BB" w:rsidP="00CB04BB">
      <w:pPr>
        <w:pStyle w:val="ListBullet"/>
        <w:numPr>
          <w:ilvl w:val="0"/>
          <w:numId w:val="0"/>
        </w:numPr>
        <w:rPr>
          <w:sz w:val="18"/>
          <w:szCs w:val="18"/>
        </w:rPr>
      </w:pPr>
      <w:r w:rsidRPr="00CB04BB">
        <w:rPr>
          <w:sz w:val="18"/>
          <w:szCs w:val="18"/>
        </w:rPr>
        <w:t>peoples and Torres Strait Islander peoples in targeted communities through Queensland</w:t>
      </w:r>
    </w:p>
    <w:p w14:paraId="58ED0D84" w14:textId="7DE5AD28" w:rsidR="00F15AE8" w:rsidRPr="004079B4" w:rsidRDefault="00CB04BB" w:rsidP="00CB04BB">
      <w:pPr>
        <w:pStyle w:val="ListBullet"/>
        <w:numPr>
          <w:ilvl w:val="0"/>
          <w:numId w:val="0"/>
        </w:numPr>
        <w:rPr>
          <w:sz w:val="18"/>
          <w:szCs w:val="18"/>
        </w:rPr>
      </w:pPr>
      <w:r w:rsidRPr="00CB04BB">
        <w:rPr>
          <w:sz w:val="18"/>
          <w:szCs w:val="18"/>
        </w:rPr>
        <w:t>Government investment, for the 1 July 2020 to 30 November 2020 period, was 12.</w:t>
      </w:r>
    </w:p>
    <w:p w14:paraId="5544F0C4" w14:textId="77777777" w:rsidR="00CB04BB" w:rsidRDefault="00CB04BB" w:rsidP="007744C2">
      <w:pPr>
        <w:pStyle w:val="Heading3"/>
        <w:rPr>
          <w:i/>
          <w:iCs/>
        </w:rPr>
      </w:pPr>
    </w:p>
    <w:p w14:paraId="6CA6FBBF" w14:textId="21DA7847" w:rsidR="00861AB3" w:rsidRPr="007744C2" w:rsidRDefault="00861AB3" w:rsidP="007744C2">
      <w:pPr>
        <w:pStyle w:val="Heading3"/>
      </w:pPr>
      <w:r w:rsidRPr="0006674B">
        <w:rPr>
          <w:i/>
          <w:iCs/>
        </w:rPr>
        <w:t>Land Holding Act</w:t>
      </w:r>
      <w:r w:rsidR="00CE70F5" w:rsidRPr="0006674B">
        <w:rPr>
          <w:i/>
          <w:iCs/>
        </w:rPr>
        <w:t xml:space="preserve"> (1985)</w:t>
      </w:r>
      <w:r w:rsidR="00CE70F5">
        <w:t xml:space="preserve"> </w:t>
      </w:r>
      <w:r w:rsidR="007744C2">
        <w:t xml:space="preserve">– </w:t>
      </w:r>
      <w:r w:rsidRPr="00C365D7">
        <w:t>Resolution Project</w:t>
      </w:r>
    </w:p>
    <w:p w14:paraId="5D14B39D" w14:textId="4DAC3947" w:rsidR="00861AB3" w:rsidRPr="00D404F3" w:rsidRDefault="00861AB3" w:rsidP="00D21656">
      <w:pPr>
        <w:rPr>
          <w:rFonts w:eastAsia="Calibri"/>
          <w:w w:val="105"/>
          <w:lang w:val="en-US" w:eastAsia="en-US"/>
        </w:rPr>
      </w:pPr>
      <w:r w:rsidRPr="00D404F3">
        <w:rPr>
          <w:rFonts w:eastAsia="Calibri"/>
          <w:w w:val="105"/>
          <w:lang w:val="en-US" w:eastAsia="en-US"/>
        </w:rPr>
        <w:lastRenderedPageBreak/>
        <w:t>The Land Holding Act Resolution Project is across agency project responsible for the resolution of historical lease, land tenure and asset issues, generated by the legislative and administrative failures of the original 1985 Land Holding Act. The project is scheduled to be completed by 30 June 2022.</w:t>
      </w:r>
    </w:p>
    <w:p w14:paraId="4A5733AA" w14:textId="2AF29517" w:rsidR="00861AB3" w:rsidRDefault="0006674B" w:rsidP="00D21656">
      <w:r>
        <w:t>The department’s</w:t>
      </w:r>
      <w:r w:rsidR="00861AB3">
        <w:t xml:space="preserve"> project responsibilities are:</w:t>
      </w:r>
    </w:p>
    <w:p w14:paraId="0E65DD99" w14:textId="77777777" w:rsidR="00861AB3" w:rsidRPr="00D21656" w:rsidRDefault="00861AB3" w:rsidP="00D21656">
      <w:pPr>
        <w:pStyle w:val="ListBullet"/>
        <w:rPr>
          <w:rFonts w:eastAsia="Calibri"/>
        </w:rPr>
      </w:pPr>
      <w:r w:rsidRPr="00D21656">
        <w:rPr>
          <w:rFonts w:eastAsia="Calibri"/>
        </w:rPr>
        <w:t>lead and finalise engagement with the applicants and beneficiaries of the 436 valid applications</w:t>
      </w:r>
    </w:p>
    <w:p w14:paraId="2657AFA2" w14:textId="4E47C4B2" w:rsidR="00861AB3" w:rsidRPr="00D21656" w:rsidRDefault="00861AB3" w:rsidP="00D21656">
      <w:pPr>
        <w:pStyle w:val="ListBullet"/>
        <w:rPr>
          <w:rFonts w:eastAsia="Calibri"/>
        </w:rPr>
      </w:pPr>
      <w:r w:rsidRPr="00D21656">
        <w:rPr>
          <w:rFonts w:eastAsia="Calibri"/>
        </w:rPr>
        <w:t>identify beneficiaries of applicants, where the applicant has passed away  </w:t>
      </w:r>
    </w:p>
    <w:p w14:paraId="0CF990C7" w14:textId="77777777" w:rsidR="00861AB3" w:rsidRDefault="00861AB3" w:rsidP="00D21656">
      <w:r>
        <w:t>Outcomes achieved were;</w:t>
      </w:r>
    </w:p>
    <w:p w14:paraId="5D33DB3D" w14:textId="312D5276" w:rsidR="00861AB3" w:rsidRPr="00D21656" w:rsidRDefault="00861AB3" w:rsidP="00D21656">
      <w:pPr>
        <w:pStyle w:val="ListBullet"/>
        <w:rPr>
          <w:rFonts w:eastAsia="Calibri"/>
        </w:rPr>
      </w:pPr>
      <w:r w:rsidRPr="00D21656">
        <w:rPr>
          <w:rFonts w:eastAsia="Calibri"/>
        </w:rPr>
        <w:t>finalised engagement with 59 individual families (total for the period 1 July 2020 to 31 June 2021)</w:t>
      </w:r>
      <w:r w:rsidR="0006674B">
        <w:rPr>
          <w:rFonts w:eastAsia="Calibri"/>
        </w:rPr>
        <w:t>. T</w:t>
      </w:r>
      <w:r w:rsidRPr="00D21656">
        <w:rPr>
          <w:rFonts w:eastAsia="Calibri"/>
        </w:rPr>
        <w:t>here is a total of 436 families to engage with, 317 families have been engaged with to date  </w:t>
      </w:r>
    </w:p>
    <w:p w14:paraId="0C43DE52" w14:textId="7EE10340" w:rsidR="00861AB3" w:rsidRPr="00D21656" w:rsidRDefault="00861AB3" w:rsidP="00861AB3">
      <w:pPr>
        <w:pStyle w:val="ListBullet"/>
        <w:rPr>
          <w:rFonts w:eastAsia="Calibri"/>
        </w:rPr>
      </w:pPr>
      <w:r w:rsidRPr="00D21656">
        <w:rPr>
          <w:rFonts w:eastAsia="Calibri"/>
        </w:rPr>
        <w:t>completed 86 beneficiary assessments (total for the period 1 July 2020 to 31 June 2021)</w:t>
      </w:r>
      <w:r w:rsidR="0006674B">
        <w:rPr>
          <w:rFonts w:eastAsia="Calibri"/>
        </w:rPr>
        <w:t>. T</w:t>
      </w:r>
      <w:r w:rsidRPr="00D21656">
        <w:rPr>
          <w:rFonts w:eastAsia="Calibri"/>
        </w:rPr>
        <w:t>here is a total of 390 primary beneficiary assessments required to be completed, 369 beneficiary assessments</w:t>
      </w:r>
      <w:r w:rsidR="0006674B">
        <w:rPr>
          <w:rFonts w:eastAsia="Calibri"/>
        </w:rPr>
        <w:t xml:space="preserve"> have been</w:t>
      </w:r>
      <w:r w:rsidRPr="00D21656">
        <w:rPr>
          <w:rFonts w:eastAsia="Calibri"/>
        </w:rPr>
        <w:t xml:space="preserve"> completed to date. </w:t>
      </w:r>
    </w:p>
    <w:p w14:paraId="2D649C8E" w14:textId="503171E2" w:rsidR="00861AB3" w:rsidRDefault="00861AB3" w:rsidP="00861AB3">
      <w:pPr>
        <w:rPr>
          <w:lang w:eastAsia="en-US"/>
        </w:rPr>
      </w:pPr>
      <w:r>
        <w:rPr>
          <w:lang w:eastAsia="en-US"/>
        </w:rPr>
        <w:t xml:space="preserve">Further information can be referred to in the definitions for the </w:t>
      </w:r>
      <w:r w:rsidRPr="002169EC">
        <w:rPr>
          <w:lang w:eastAsia="en-US"/>
        </w:rPr>
        <w:t>Land Holding</w:t>
      </w:r>
      <w:r w:rsidR="002169EC" w:rsidRPr="002169EC">
        <w:rPr>
          <w:lang w:eastAsia="en-US"/>
        </w:rPr>
        <w:t xml:space="preserve"> Act </w:t>
      </w:r>
      <w:r w:rsidR="00CE70F5">
        <w:rPr>
          <w:lang w:eastAsia="en-US"/>
        </w:rPr>
        <w:t>P</w:t>
      </w:r>
      <w:r>
        <w:rPr>
          <w:lang w:eastAsia="en-US"/>
        </w:rPr>
        <w:t>roject in the Appendix 1 – Glossary on page</w:t>
      </w:r>
      <w:r w:rsidR="00CE70F5">
        <w:rPr>
          <w:lang w:eastAsia="en-US"/>
        </w:rPr>
        <w:t xml:space="preserve"> </w:t>
      </w:r>
      <w:r w:rsidR="00CE70F5" w:rsidRPr="002169EC">
        <w:rPr>
          <w:lang w:eastAsia="en-US"/>
        </w:rPr>
        <w:t>53.</w:t>
      </w:r>
    </w:p>
    <w:p w14:paraId="4F3FCA15" w14:textId="7CAC70E0" w:rsidR="004E197D" w:rsidRPr="00E4449B" w:rsidRDefault="004E197D" w:rsidP="007524AB">
      <w:pPr>
        <w:pStyle w:val="Heading3"/>
      </w:pPr>
      <w:r w:rsidRPr="00E4449B">
        <w:t>Master planning</w:t>
      </w:r>
      <w:bookmarkEnd w:id="87"/>
      <w:bookmarkEnd w:id="88"/>
      <w:bookmarkEnd w:id="89"/>
    </w:p>
    <w:p w14:paraId="5D386776" w14:textId="1946B6C6" w:rsidR="004E197D" w:rsidRPr="00E4449B" w:rsidRDefault="004E197D" w:rsidP="00D21656">
      <w:pPr>
        <w:rPr>
          <w:rFonts w:eastAsia="Calibri"/>
          <w:spacing w:val="-1"/>
          <w:lang w:val="en-US" w:eastAsia="en-US"/>
        </w:rPr>
      </w:pPr>
      <w:r w:rsidRPr="00E4449B">
        <w:rPr>
          <w:rFonts w:eastAsia="Calibri"/>
          <w:lang w:val="en-US" w:eastAsia="en-US"/>
        </w:rPr>
        <w:t>In</w:t>
      </w:r>
      <w:r w:rsidRPr="00E4449B">
        <w:rPr>
          <w:rFonts w:eastAsia="Calibri"/>
          <w:spacing w:val="-14"/>
          <w:lang w:val="en-US" w:eastAsia="en-US"/>
        </w:rPr>
        <w:t xml:space="preserve"> </w:t>
      </w:r>
      <w:r w:rsidRPr="00E4449B">
        <w:rPr>
          <w:rFonts w:eastAsia="Calibri"/>
          <w:spacing w:val="-1"/>
          <w:lang w:val="en-US" w:eastAsia="en-US"/>
        </w:rPr>
        <w:t>p</w:t>
      </w:r>
      <w:r w:rsidRPr="00E4449B">
        <w:rPr>
          <w:rFonts w:eastAsia="Calibri"/>
          <w:lang w:val="en-US" w:eastAsia="en-US"/>
        </w:rPr>
        <w:t>artner</w:t>
      </w:r>
      <w:r w:rsidRPr="00E4449B">
        <w:rPr>
          <w:rFonts w:eastAsia="Calibri"/>
          <w:spacing w:val="-1"/>
          <w:lang w:val="en-US" w:eastAsia="en-US"/>
        </w:rPr>
        <w:t>ship</w:t>
      </w:r>
      <w:r w:rsidRPr="00E4449B">
        <w:rPr>
          <w:rFonts w:eastAsia="Calibri"/>
          <w:spacing w:val="-14"/>
          <w:lang w:val="en-US" w:eastAsia="en-US"/>
        </w:rPr>
        <w:t xml:space="preserve"> </w:t>
      </w:r>
      <w:r w:rsidRPr="00E4449B">
        <w:rPr>
          <w:rFonts w:eastAsia="Calibri"/>
          <w:lang w:val="en-US" w:eastAsia="en-US"/>
        </w:rPr>
        <w:t>with remote and discrete Aboriginal and Torres Strait Islander communities, c</w:t>
      </w:r>
      <w:r w:rsidRPr="00E4449B">
        <w:rPr>
          <w:rFonts w:eastAsia="Calibri"/>
          <w:spacing w:val="-3"/>
          <w:lang w:val="en-US" w:eastAsia="en-US"/>
        </w:rPr>
        <w:t>ou</w:t>
      </w:r>
      <w:r w:rsidRPr="00E4449B">
        <w:rPr>
          <w:rFonts w:eastAsia="Calibri"/>
          <w:lang w:val="en-US" w:eastAsia="en-US"/>
        </w:rPr>
        <w:t>ncils,</w:t>
      </w:r>
      <w:r w:rsidRPr="00E4449B">
        <w:rPr>
          <w:rFonts w:eastAsia="Calibri"/>
          <w:spacing w:val="-16"/>
          <w:lang w:val="en-US" w:eastAsia="en-US"/>
        </w:rPr>
        <w:t xml:space="preserve"> </w:t>
      </w:r>
      <w:r w:rsidRPr="00E4449B">
        <w:rPr>
          <w:rFonts w:eastAsia="Calibri"/>
          <w:lang w:val="en-US" w:eastAsia="en-US"/>
        </w:rPr>
        <w:t>Tr</w:t>
      </w:r>
      <w:r w:rsidRPr="00E4449B">
        <w:rPr>
          <w:rFonts w:eastAsia="Calibri"/>
          <w:spacing w:val="-1"/>
          <w:lang w:val="en-US" w:eastAsia="en-US"/>
        </w:rPr>
        <w:t>aditional</w:t>
      </w:r>
      <w:r w:rsidRPr="00E4449B">
        <w:rPr>
          <w:rFonts w:eastAsia="Calibri"/>
          <w:spacing w:val="-16"/>
          <w:lang w:val="en-US" w:eastAsia="en-US"/>
        </w:rPr>
        <w:t xml:space="preserve"> </w:t>
      </w:r>
      <w:r w:rsidRPr="00E4449B">
        <w:rPr>
          <w:rFonts w:eastAsia="Calibri"/>
          <w:lang w:val="en-US" w:eastAsia="en-US"/>
        </w:rPr>
        <w:t>Owner</w:t>
      </w:r>
      <w:r w:rsidRPr="00E4449B">
        <w:rPr>
          <w:rFonts w:eastAsia="Calibri"/>
          <w:spacing w:val="-1"/>
          <w:lang w:val="en-US" w:eastAsia="en-US"/>
        </w:rPr>
        <w:t>s</w:t>
      </w:r>
      <w:r w:rsidRPr="00E4449B">
        <w:rPr>
          <w:rFonts w:eastAsia="Calibri"/>
          <w:spacing w:val="-15"/>
          <w:lang w:val="en-US" w:eastAsia="en-US"/>
        </w:rPr>
        <w:t xml:space="preserve"> </w:t>
      </w:r>
      <w:r w:rsidRPr="00E4449B">
        <w:rPr>
          <w:rFonts w:eastAsia="Calibri"/>
          <w:lang w:val="en-US" w:eastAsia="en-US"/>
        </w:rPr>
        <w:t>and</w:t>
      </w:r>
      <w:r w:rsidRPr="00E4449B">
        <w:rPr>
          <w:rFonts w:eastAsia="Calibri"/>
          <w:spacing w:val="-15"/>
          <w:lang w:val="en-US" w:eastAsia="en-US"/>
        </w:rPr>
        <w:t xml:space="preserve"> </w:t>
      </w:r>
      <w:r w:rsidRPr="00E4449B">
        <w:rPr>
          <w:rFonts w:eastAsia="Calibri"/>
          <w:lang w:val="en-US" w:eastAsia="en-US"/>
        </w:rPr>
        <w:t>re</w:t>
      </w:r>
      <w:r w:rsidRPr="00E4449B">
        <w:rPr>
          <w:rFonts w:eastAsia="Calibri"/>
          <w:spacing w:val="-1"/>
          <w:lang w:val="en-US" w:eastAsia="en-US"/>
        </w:rPr>
        <w:t>sid</w:t>
      </w:r>
      <w:r w:rsidRPr="00E4449B">
        <w:rPr>
          <w:rFonts w:eastAsia="Calibri"/>
          <w:lang w:val="en-US" w:eastAsia="en-US"/>
        </w:rPr>
        <w:t>ents, the</w:t>
      </w:r>
      <w:r w:rsidRPr="00E4449B">
        <w:rPr>
          <w:rFonts w:eastAsia="Calibri"/>
          <w:spacing w:val="-12"/>
          <w:lang w:val="en-US" w:eastAsia="en-US"/>
        </w:rPr>
        <w:t xml:space="preserve"> </w:t>
      </w:r>
      <w:r w:rsidRPr="00E4449B">
        <w:rPr>
          <w:rFonts w:eastAsia="Calibri"/>
          <w:spacing w:val="-1"/>
          <w:lang w:val="en-US" w:eastAsia="en-US"/>
        </w:rPr>
        <w:t>dep</w:t>
      </w:r>
      <w:r w:rsidRPr="00E4449B">
        <w:rPr>
          <w:rFonts w:eastAsia="Calibri"/>
          <w:lang w:val="en-US" w:eastAsia="en-US"/>
        </w:rPr>
        <w:t>artment</w:t>
      </w:r>
      <w:r w:rsidRPr="00E4449B">
        <w:rPr>
          <w:rFonts w:eastAsia="Calibri"/>
          <w:spacing w:val="-12"/>
          <w:lang w:val="en-US" w:eastAsia="en-US"/>
        </w:rPr>
        <w:t xml:space="preserve"> </w:t>
      </w:r>
      <w:r w:rsidRPr="00E4449B">
        <w:rPr>
          <w:rFonts w:eastAsia="Calibri"/>
          <w:spacing w:val="-1"/>
          <w:lang w:val="en-US" w:eastAsia="en-US"/>
        </w:rPr>
        <w:t>led</w:t>
      </w:r>
      <w:r w:rsidRPr="00E4449B">
        <w:rPr>
          <w:rFonts w:eastAsia="Calibri"/>
          <w:spacing w:val="-13"/>
          <w:lang w:val="en-US" w:eastAsia="en-US"/>
        </w:rPr>
        <w:t xml:space="preserve"> </w:t>
      </w:r>
      <w:r w:rsidRPr="00E4449B">
        <w:rPr>
          <w:rFonts w:eastAsia="Calibri"/>
          <w:lang w:val="en-US" w:eastAsia="en-US"/>
        </w:rPr>
        <w:t>a</w:t>
      </w:r>
      <w:r w:rsidRPr="00E4449B">
        <w:rPr>
          <w:rFonts w:eastAsia="Calibri"/>
          <w:spacing w:val="-11"/>
          <w:lang w:val="en-US" w:eastAsia="en-US"/>
        </w:rPr>
        <w:t xml:space="preserve"> </w:t>
      </w:r>
      <w:r w:rsidRPr="00E4449B">
        <w:rPr>
          <w:rFonts w:eastAsia="Calibri"/>
          <w:lang w:val="en-US" w:eastAsia="en-US"/>
        </w:rPr>
        <w:t>r</w:t>
      </w:r>
      <w:r w:rsidRPr="00E4449B">
        <w:rPr>
          <w:rFonts w:eastAsia="Calibri"/>
          <w:spacing w:val="-1"/>
          <w:lang w:val="en-US" w:eastAsia="en-US"/>
        </w:rPr>
        <w:t>ange</w:t>
      </w:r>
      <w:r w:rsidRPr="00E4449B">
        <w:rPr>
          <w:rFonts w:eastAsia="Calibri"/>
          <w:spacing w:val="-12"/>
          <w:lang w:val="en-US" w:eastAsia="en-US"/>
        </w:rPr>
        <w:t xml:space="preserve"> </w:t>
      </w:r>
      <w:r w:rsidRPr="00E4449B">
        <w:rPr>
          <w:rFonts w:eastAsia="Calibri"/>
          <w:lang w:val="en-US" w:eastAsia="en-US"/>
        </w:rPr>
        <w:t>of</w:t>
      </w:r>
      <w:r w:rsidRPr="00E4449B">
        <w:rPr>
          <w:rFonts w:eastAsia="Calibri"/>
          <w:spacing w:val="-12"/>
          <w:lang w:val="en-US" w:eastAsia="en-US"/>
        </w:rPr>
        <w:t xml:space="preserve"> </w:t>
      </w:r>
      <w:r w:rsidRPr="00E4449B">
        <w:rPr>
          <w:rFonts w:eastAsia="Calibri"/>
          <w:lang w:val="en-US" w:eastAsia="en-US"/>
        </w:rPr>
        <w:t>m</w:t>
      </w:r>
      <w:r w:rsidRPr="00E4449B">
        <w:rPr>
          <w:rFonts w:eastAsia="Calibri"/>
          <w:spacing w:val="-1"/>
          <w:lang w:val="en-US" w:eastAsia="en-US"/>
        </w:rPr>
        <w:t>as</w:t>
      </w:r>
      <w:r w:rsidRPr="00E4449B">
        <w:rPr>
          <w:rFonts w:eastAsia="Calibri"/>
          <w:lang w:val="en-US" w:eastAsia="en-US"/>
        </w:rPr>
        <w:t>ter</w:t>
      </w:r>
      <w:r w:rsidRPr="00E4449B">
        <w:rPr>
          <w:rFonts w:eastAsia="Calibri"/>
          <w:spacing w:val="-12"/>
          <w:lang w:val="en-US" w:eastAsia="en-US"/>
        </w:rPr>
        <w:t xml:space="preserve"> </w:t>
      </w:r>
      <w:r w:rsidRPr="00E4449B">
        <w:rPr>
          <w:rFonts w:eastAsia="Calibri"/>
          <w:spacing w:val="-1"/>
          <w:lang w:val="en-US" w:eastAsia="en-US"/>
        </w:rPr>
        <w:t>planning</w:t>
      </w:r>
      <w:r w:rsidRPr="00E4449B">
        <w:rPr>
          <w:rFonts w:eastAsia="Calibri"/>
          <w:spacing w:val="-11"/>
          <w:lang w:val="en-US" w:eastAsia="en-US"/>
        </w:rPr>
        <w:t xml:space="preserve"> </w:t>
      </w:r>
      <w:r w:rsidRPr="00E4449B">
        <w:rPr>
          <w:rFonts w:eastAsia="Calibri"/>
          <w:lang w:val="en-US" w:eastAsia="en-US"/>
        </w:rPr>
        <w:t xml:space="preserve">projects to plan for the future needs and aspirations of Aboriginal and Torres Strait Islander Queenslanders, including commercial, residential, industrial and community goals. A master plan is a council policy document that provides internal and external stakeholders with effective and tailored guidance for decisions about future </w:t>
      </w:r>
      <w:proofErr w:type="gramStart"/>
      <w:r w:rsidRPr="00E4449B">
        <w:rPr>
          <w:rFonts w:eastAsia="Calibri"/>
          <w:lang w:val="en-US" w:eastAsia="en-US"/>
        </w:rPr>
        <w:t>development</w:t>
      </w:r>
      <w:r w:rsidR="0006674B">
        <w:rPr>
          <w:rFonts w:eastAsia="Calibri"/>
          <w:lang w:val="en-US" w:eastAsia="en-US"/>
        </w:rPr>
        <w:t>,</w:t>
      </w:r>
      <w:r w:rsidRPr="00E4449B">
        <w:rPr>
          <w:rFonts w:eastAsia="Calibri"/>
          <w:lang w:val="en-US" w:eastAsia="en-US"/>
        </w:rPr>
        <w:t xml:space="preserve"> and</w:t>
      </w:r>
      <w:proofErr w:type="gramEnd"/>
      <w:r w:rsidRPr="00E4449B">
        <w:rPr>
          <w:rFonts w:eastAsia="Calibri"/>
          <w:lang w:val="en-US" w:eastAsia="en-US"/>
        </w:rPr>
        <w:t xml:space="preserve"> facilitates positive service delivery and economic outcomes for remote and discrete Aboriginal and Torres Strait Islander communities.</w:t>
      </w:r>
    </w:p>
    <w:p w14:paraId="57E5FFEB" w14:textId="353C8C95" w:rsidR="004E197D" w:rsidRPr="00D21656" w:rsidRDefault="004E197D" w:rsidP="00D21656">
      <w:pPr>
        <w:pStyle w:val="Heading4"/>
      </w:pPr>
      <w:r w:rsidRPr="00D21656">
        <w:t>Key achievements</w:t>
      </w:r>
    </w:p>
    <w:p w14:paraId="2D97C359" w14:textId="77777777" w:rsidR="004E197D" w:rsidRPr="00E4449B" w:rsidRDefault="004E197D" w:rsidP="00D21656">
      <w:pPr>
        <w:rPr>
          <w:lang w:val="en-US"/>
        </w:rPr>
      </w:pPr>
      <w:bookmarkStart w:id="90" w:name="_Toc67046696"/>
      <w:r w:rsidRPr="00E4449B">
        <w:rPr>
          <w:lang w:val="en-US"/>
        </w:rPr>
        <w:t>The department facilitated the preparation of the following urban and rural Master Plans, Precinct Plans and 3D Modelling (Natural Hazards related) Plans:</w:t>
      </w:r>
    </w:p>
    <w:p w14:paraId="322DF32B" w14:textId="77777777" w:rsidR="004E197D" w:rsidRPr="00D21656" w:rsidRDefault="004E197D" w:rsidP="00D21656">
      <w:pPr>
        <w:pStyle w:val="Heading5"/>
      </w:pPr>
      <w:r w:rsidRPr="00D21656">
        <w:t>Master Plans underway</w:t>
      </w:r>
    </w:p>
    <w:p w14:paraId="27D67730" w14:textId="21F51322" w:rsidR="004E197D" w:rsidRPr="00D21656" w:rsidRDefault="004E197D" w:rsidP="00D21656">
      <w:pPr>
        <w:pStyle w:val="ListBullet"/>
      </w:pPr>
      <w:r w:rsidRPr="00D21656">
        <w:t xml:space="preserve">are progressing for Badu Island, </w:t>
      </w:r>
      <w:proofErr w:type="spellStart"/>
      <w:r w:rsidRPr="00D21656">
        <w:t>Boigu</w:t>
      </w:r>
      <w:proofErr w:type="spellEnd"/>
      <w:r w:rsidRPr="00D21656">
        <w:t xml:space="preserve"> Island, </w:t>
      </w:r>
      <w:proofErr w:type="spellStart"/>
      <w:r w:rsidRPr="00D21656">
        <w:t>Dauan</w:t>
      </w:r>
      <w:proofErr w:type="spellEnd"/>
      <w:r w:rsidRPr="00D21656">
        <w:t xml:space="preserve"> Island, </w:t>
      </w:r>
      <w:proofErr w:type="spellStart"/>
      <w:r w:rsidRPr="00D21656">
        <w:t>Erub</w:t>
      </w:r>
      <w:proofErr w:type="spellEnd"/>
      <w:r w:rsidRPr="00D21656">
        <w:t xml:space="preserve"> Island, </w:t>
      </w:r>
      <w:proofErr w:type="spellStart"/>
      <w:r w:rsidRPr="00D21656">
        <w:t>Kubin</w:t>
      </w:r>
      <w:proofErr w:type="spellEnd"/>
      <w:r w:rsidRPr="00D21656">
        <w:t xml:space="preserve"> (Moa Island), Mabuiag Island, Mer Island, Saibai Island, St Pauls (Moa Island), </w:t>
      </w:r>
      <w:proofErr w:type="spellStart"/>
      <w:r w:rsidRPr="00D21656">
        <w:t>Ugar</w:t>
      </w:r>
      <w:proofErr w:type="spellEnd"/>
      <w:r w:rsidRPr="00D21656">
        <w:t xml:space="preserve"> Island and </w:t>
      </w:r>
      <w:proofErr w:type="spellStart"/>
      <w:r w:rsidRPr="00D21656">
        <w:t>Warraber</w:t>
      </w:r>
      <w:proofErr w:type="spellEnd"/>
      <w:r w:rsidRPr="00D21656">
        <w:t xml:space="preserve"> Island</w:t>
      </w:r>
    </w:p>
    <w:p w14:paraId="69A7399D" w14:textId="77777777" w:rsidR="004E197D" w:rsidRPr="00D21656" w:rsidRDefault="004E197D" w:rsidP="00D21656">
      <w:pPr>
        <w:pStyle w:val="ListBullet"/>
      </w:pPr>
      <w:r w:rsidRPr="00D21656">
        <w:t xml:space="preserve">Rural Master Plans drafting commenced for Hope Vale Congress and Yarrabah </w:t>
      </w:r>
      <w:proofErr w:type="spellStart"/>
      <w:r w:rsidRPr="00D21656">
        <w:t>Gunggandji</w:t>
      </w:r>
      <w:proofErr w:type="spellEnd"/>
      <w:r w:rsidRPr="00D21656">
        <w:t xml:space="preserve"> </w:t>
      </w:r>
      <w:proofErr w:type="spellStart"/>
      <w:r w:rsidRPr="00D21656">
        <w:t>Mandingalbay</w:t>
      </w:r>
      <w:proofErr w:type="spellEnd"/>
      <w:r w:rsidRPr="00D21656">
        <w:t xml:space="preserve"> </w:t>
      </w:r>
      <w:proofErr w:type="spellStart"/>
      <w:r w:rsidRPr="00D21656">
        <w:t>Yidinji</w:t>
      </w:r>
      <w:proofErr w:type="spellEnd"/>
      <w:r w:rsidRPr="00D21656">
        <w:t xml:space="preserve"> Peoples Prescribed Body Corporate (Registered Native Title Body Corporate) in Yarrabah.</w:t>
      </w:r>
    </w:p>
    <w:p w14:paraId="4F5A1952" w14:textId="77777777" w:rsidR="004E197D" w:rsidRPr="00D21656" w:rsidRDefault="004E197D" w:rsidP="00D21656">
      <w:pPr>
        <w:pStyle w:val="ListBullet"/>
      </w:pPr>
      <w:r w:rsidRPr="00D21656">
        <w:t xml:space="preserve">Rural Master Plans currently being drafted for Northern Peninsula Area and Woorabinda. </w:t>
      </w:r>
    </w:p>
    <w:p w14:paraId="287D20B9" w14:textId="77777777" w:rsidR="004E197D" w:rsidRPr="00D21656" w:rsidRDefault="004E197D" w:rsidP="00D21656">
      <w:pPr>
        <w:pStyle w:val="Heading5"/>
      </w:pPr>
      <w:r w:rsidRPr="00D21656">
        <w:t>New Precinct Plans for communities</w:t>
      </w:r>
    </w:p>
    <w:p w14:paraId="635D124D" w14:textId="77777777" w:rsidR="004E197D" w:rsidRPr="00D21656" w:rsidRDefault="004E197D" w:rsidP="00D21656">
      <w:pPr>
        <w:pStyle w:val="ListBullet"/>
      </w:pPr>
      <w:r w:rsidRPr="00D21656">
        <w:t xml:space="preserve">Precinct plans undertaken for Cherbourg cemetery, residential and recreation; </w:t>
      </w:r>
      <w:proofErr w:type="spellStart"/>
      <w:r w:rsidRPr="00D21656">
        <w:t>Napranum</w:t>
      </w:r>
      <w:proofErr w:type="spellEnd"/>
      <w:r w:rsidRPr="00D21656">
        <w:t xml:space="preserve"> Foreshore, Mapoon Tourism and Northern Peninsula Area Injinoo Cultural Precinct.</w:t>
      </w:r>
    </w:p>
    <w:p w14:paraId="3C72BB14" w14:textId="77777777" w:rsidR="004E197D" w:rsidRPr="00D21656" w:rsidRDefault="004E197D" w:rsidP="00D21656">
      <w:pPr>
        <w:pStyle w:val="Heading5"/>
      </w:pPr>
      <w:r w:rsidRPr="00D21656">
        <w:t>Master Plans completed, reviewed or amended</w:t>
      </w:r>
    </w:p>
    <w:p w14:paraId="187FB23A" w14:textId="77777777" w:rsidR="004E197D" w:rsidRPr="00D21656" w:rsidRDefault="004E197D" w:rsidP="00D21656">
      <w:pPr>
        <w:pStyle w:val="ListBullet"/>
      </w:pPr>
      <w:r w:rsidRPr="00D21656">
        <w:t>Master Plan compiled for Lockhart River. </w:t>
      </w:r>
    </w:p>
    <w:p w14:paraId="73B8D0FF" w14:textId="77777777" w:rsidR="004E197D" w:rsidRPr="00D21656" w:rsidRDefault="004E197D" w:rsidP="00D21656">
      <w:pPr>
        <w:pStyle w:val="Heading5"/>
      </w:pPr>
      <w:r w:rsidRPr="00D21656">
        <w:t>Supportive plans completed and underway</w:t>
      </w:r>
    </w:p>
    <w:p w14:paraId="1436C0FF" w14:textId="54E33CC0" w:rsidR="004E197D" w:rsidRPr="00D21656" w:rsidRDefault="004E197D" w:rsidP="00D21656">
      <w:pPr>
        <w:pStyle w:val="ListBullet"/>
      </w:pPr>
      <w:r w:rsidRPr="00D21656">
        <w:t>Specialist plans underway include Kowanyama Flood Study</w:t>
      </w:r>
      <w:r w:rsidR="000933CC" w:rsidRPr="00D21656">
        <w:t>,</w:t>
      </w:r>
      <w:r w:rsidRPr="00D21656">
        <w:t xml:space="preserve"> and Mapoon selected Flood and Bushfire Study. </w:t>
      </w:r>
    </w:p>
    <w:p w14:paraId="44F6E713" w14:textId="77777777" w:rsidR="00761A9F" w:rsidRDefault="00761A9F" w:rsidP="007524AB">
      <w:pPr>
        <w:pStyle w:val="Heading3"/>
      </w:pPr>
      <w:bookmarkStart w:id="91" w:name="_Toc78287389"/>
      <w:bookmarkStart w:id="92" w:name="_Toc78355796"/>
    </w:p>
    <w:p w14:paraId="0C504C75" w14:textId="77777777" w:rsidR="00761A9F" w:rsidRDefault="00761A9F" w:rsidP="007524AB">
      <w:pPr>
        <w:pStyle w:val="Heading3"/>
      </w:pPr>
    </w:p>
    <w:p w14:paraId="199B0316" w14:textId="4F0BA1F0" w:rsidR="004E197D" w:rsidRPr="00E4449B" w:rsidRDefault="004E197D" w:rsidP="007524AB">
      <w:pPr>
        <w:pStyle w:val="Heading3"/>
      </w:pPr>
      <w:r w:rsidRPr="00E4449B">
        <w:t>Town planning</w:t>
      </w:r>
      <w:bookmarkEnd w:id="90"/>
      <w:bookmarkEnd w:id="91"/>
      <w:bookmarkEnd w:id="92"/>
    </w:p>
    <w:p w14:paraId="6AD20FDF" w14:textId="77777777" w:rsidR="004E197D" w:rsidRPr="00E4449B" w:rsidRDefault="004E197D" w:rsidP="00D21656">
      <w:pPr>
        <w:rPr>
          <w:rFonts w:eastAsia="Calibri"/>
          <w:spacing w:val="-1"/>
          <w:lang w:val="en-US" w:eastAsia="en-US"/>
        </w:rPr>
      </w:pPr>
      <w:r w:rsidRPr="00E4449B">
        <w:rPr>
          <w:rFonts w:eastAsia="Calibri"/>
          <w:lang w:val="en-US" w:eastAsia="en-US"/>
        </w:rPr>
        <w:t>The</w:t>
      </w:r>
      <w:r w:rsidRPr="00E4449B">
        <w:rPr>
          <w:rFonts w:eastAsia="Calibri"/>
          <w:spacing w:val="-10"/>
          <w:lang w:val="en-US" w:eastAsia="en-US"/>
        </w:rPr>
        <w:t xml:space="preserve"> </w:t>
      </w:r>
      <w:r w:rsidRPr="00E4449B">
        <w:rPr>
          <w:rFonts w:eastAsia="Calibri"/>
          <w:spacing w:val="-1"/>
          <w:lang w:val="en-US" w:eastAsia="en-US"/>
        </w:rPr>
        <w:t>dep</w:t>
      </w:r>
      <w:r w:rsidRPr="00E4449B">
        <w:rPr>
          <w:rFonts w:eastAsia="Calibri"/>
          <w:spacing w:val="-2"/>
          <w:lang w:val="en-US" w:eastAsia="en-US"/>
        </w:rPr>
        <w:t>artment</w:t>
      </w:r>
      <w:r w:rsidRPr="00E4449B">
        <w:rPr>
          <w:rFonts w:eastAsia="Calibri"/>
          <w:spacing w:val="-11"/>
          <w:lang w:val="en-US" w:eastAsia="en-US"/>
        </w:rPr>
        <w:t xml:space="preserve"> </w:t>
      </w:r>
      <w:proofErr w:type="gramStart"/>
      <w:r w:rsidRPr="00E4449B">
        <w:rPr>
          <w:rFonts w:eastAsia="Calibri"/>
          <w:spacing w:val="-2"/>
          <w:lang w:val="en-US" w:eastAsia="en-US"/>
        </w:rPr>
        <w:t>pr</w:t>
      </w:r>
      <w:r w:rsidRPr="00E4449B">
        <w:rPr>
          <w:rFonts w:eastAsia="Calibri"/>
          <w:spacing w:val="-1"/>
          <w:lang w:val="en-US" w:eastAsia="en-US"/>
        </w:rPr>
        <w:t>o</w:t>
      </w:r>
      <w:r w:rsidRPr="00E4449B">
        <w:rPr>
          <w:rFonts w:eastAsia="Calibri"/>
          <w:spacing w:val="-2"/>
          <w:lang w:val="en-US" w:eastAsia="en-US"/>
        </w:rPr>
        <w:t>v</w:t>
      </w:r>
      <w:r w:rsidRPr="00E4449B">
        <w:rPr>
          <w:rFonts w:eastAsia="Calibri"/>
          <w:spacing w:val="-1"/>
          <w:lang w:val="en-US" w:eastAsia="en-US"/>
        </w:rPr>
        <w:t>ided</w:t>
      </w:r>
      <w:r w:rsidRPr="00E4449B">
        <w:rPr>
          <w:rFonts w:eastAsia="Calibri"/>
          <w:spacing w:val="-11"/>
          <w:lang w:val="en-US" w:eastAsia="en-US"/>
        </w:rPr>
        <w:t xml:space="preserve"> </w:t>
      </w:r>
      <w:r w:rsidRPr="00E4449B">
        <w:rPr>
          <w:rFonts w:eastAsia="Calibri"/>
          <w:spacing w:val="-2"/>
          <w:lang w:val="en-US" w:eastAsia="en-US"/>
        </w:rPr>
        <w:t>assis</w:t>
      </w:r>
      <w:r w:rsidRPr="00E4449B">
        <w:rPr>
          <w:rFonts w:eastAsia="Calibri"/>
          <w:spacing w:val="-3"/>
          <w:lang w:val="en-US" w:eastAsia="en-US"/>
        </w:rPr>
        <w:t>t</w:t>
      </w:r>
      <w:r w:rsidRPr="00E4449B">
        <w:rPr>
          <w:rFonts w:eastAsia="Calibri"/>
          <w:spacing w:val="-2"/>
          <w:lang w:val="en-US" w:eastAsia="en-US"/>
        </w:rPr>
        <w:t>anc</w:t>
      </w:r>
      <w:r w:rsidRPr="00E4449B">
        <w:rPr>
          <w:rFonts w:eastAsia="Calibri"/>
          <w:spacing w:val="-3"/>
          <w:lang w:val="en-US" w:eastAsia="en-US"/>
        </w:rPr>
        <w:t>e</w:t>
      </w:r>
      <w:r w:rsidRPr="00E4449B">
        <w:rPr>
          <w:rFonts w:eastAsia="Calibri"/>
          <w:spacing w:val="-10"/>
          <w:lang w:val="en-US" w:eastAsia="en-US"/>
        </w:rPr>
        <w:t xml:space="preserve"> </w:t>
      </w:r>
      <w:r w:rsidRPr="00E4449B">
        <w:rPr>
          <w:rFonts w:eastAsia="Calibri"/>
          <w:lang w:val="en-US" w:eastAsia="en-US"/>
        </w:rPr>
        <w:t>to</w:t>
      </w:r>
      <w:proofErr w:type="gramEnd"/>
      <w:r w:rsidRPr="00E4449B">
        <w:rPr>
          <w:rFonts w:eastAsia="Calibri"/>
          <w:lang w:val="en-US" w:eastAsia="en-US"/>
        </w:rPr>
        <w:t xml:space="preserve"> Aboriginal and Torres Strait Islander Councils to make informed planning decisions in their communities throughout Queensland</w:t>
      </w:r>
      <w:r w:rsidRPr="00E4449B">
        <w:rPr>
          <w:rFonts w:eastAsia="Calibri"/>
          <w:spacing w:val="-2"/>
          <w:lang w:val="en-US" w:eastAsia="en-US"/>
        </w:rPr>
        <w:t>.</w:t>
      </w:r>
    </w:p>
    <w:p w14:paraId="17B7D6A6" w14:textId="77777777" w:rsidR="004E197D" w:rsidRPr="00D21656" w:rsidRDefault="004E197D" w:rsidP="00D21656">
      <w:pPr>
        <w:pStyle w:val="Heading4"/>
      </w:pPr>
      <w:r w:rsidRPr="00D21656">
        <w:lastRenderedPageBreak/>
        <w:t>Key achievements</w:t>
      </w:r>
    </w:p>
    <w:p w14:paraId="02B262DE" w14:textId="51EBBC1E" w:rsidR="004E197D" w:rsidRPr="00D21656" w:rsidRDefault="004E197D" w:rsidP="00D21656">
      <w:pPr>
        <w:pStyle w:val="Heading5"/>
      </w:pPr>
      <w:r w:rsidRPr="00D21656">
        <w:t>Planning schemes</w:t>
      </w:r>
    </w:p>
    <w:p w14:paraId="5B9CB0A6" w14:textId="6A83F2C1" w:rsidR="00D175D3" w:rsidRPr="00E4449B" w:rsidRDefault="00D175D3" w:rsidP="00D21656">
      <w:pPr>
        <w:rPr>
          <w:rFonts w:eastAsia="Calibri"/>
          <w:lang w:val="en-US" w:eastAsia="en-US"/>
        </w:rPr>
      </w:pPr>
      <w:r w:rsidRPr="00E4449B">
        <w:rPr>
          <w:rFonts w:eastAsia="Calibri"/>
          <w:lang w:val="en-US" w:eastAsia="en-US"/>
        </w:rPr>
        <w:t>During the reporting period, the department:</w:t>
      </w:r>
    </w:p>
    <w:p w14:paraId="108799D8" w14:textId="64A9C254" w:rsidR="004E197D" w:rsidRPr="00E4449B" w:rsidRDefault="004E197D" w:rsidP="00D21656">
      <w:pPr>
        <w:pStyle w:val="ListBullet"/>
        <w:rPr>
          <w:rFonts w:eastAsia="Calibri"/>
          <w:lang w:val="en-US"/>
        </w:rPr>
      </w:pPr>
      <w:r w:rsidRPr="00E4449B">
        <w:rPr>
          <w:rFonts w:eastAsia="Calibri"/>
          <w:lang w:val="en-US"/>
        </w:rPr>
        <w:t>assisted in</w:t>
      </w:r>
      <w:r w:rsidRPr="00E4449B">
        <w:t xml:space="preserve"> </w:t>
      </w:r>
      <w:r w:rsidRPr="00E4449B">
        <w:rPr>
          <w:rFonts w:eastAsia="Calibri"/>
          <w:lang w:val="en-US"/>
        </w:rPr>
        <w:t xml:space="preserve">facilitating the adoption of </w:t>
      </w:r>
      <w:r w:rsidR="000933CC" w:rsidRPr="00E4449B">
        <w:rPr>
          <w:rFonts w:eastAsia="Calibri"/>
          <w:lang w:val="en-US"/>
        </w:rPr>
        <w:t>three</w:t>
      </w:r>
      <w:r w:rsidRPr="00E4449B">
        <w:rPr>
          <w:rFonts w:eastAsia="Calibri"/>
          <w:lang w:val="en-US"/>
        </w:rPr>
        <w:t xml:space="preserve"> alignment amendment town planning schemes (</w:t>
      </w:r>
      <w:proofErr w:type="spellStart"/>
      <w:r w:rsidRPr="00E4449B">
        <w:rPr>
          <w:rFonts w:eastAsia="Calibri"/>
          <w:lang w:val="en-US"/>
        </w:rPr>
        <w:t>Kowanyama</w:t>
      </w:r>
      <w:proofErr w:type="spellEnd"/>
      <w:r w:rsidRPr="00E4449B">
        <w:rPr>
          <w:rFonts w:eastAsia="Calibri"/>
          <w:lang w:val="en-US"/>
        </w:rPr>
        <w:t xml:space="preserve">, </w:t>
      </w:r>
      <w:proofErr w:type="spellStart"/>
      <w:r w:rsidRPr="00E4449B">
        <w:rPr>
          <w:rFonts w:eastAsia="Calibri"/>
          <w:lang w:val="en-US"/>
        </w:rPr>
        <w:t>Wujal</w:t>
      </w:r>
      <w:proofErr w:type="spellEnd"/>
      <w:r w:rsidRPr="00E4449B">
        <w:rPr>
          <w:rFonts w:eastAsia="Calibri"/>
          <w:lang w:val="en-US"/>
        </w:rPr>
        <w:t xml:space="preserve"> </w:t>
      </w:r>
      <w:proofErr w:type="spellStart"/>
      <w:r w:rsidRPr="00E4449B">
        <w:rPr>
          <w:rFonts w:eastAsia="Calibri"/>
          <w:lang w:val="en-US"/>
        </w:rPr>
        <w:t>Wujal</w:t>
      </w:r>
      <w:proofErr w:type="spellEnd"/>
      <w:r w:rsidRPr="00E4449B">
        <w:rPr>
          <w:rFonts w:eastAsia="Calibri"/>
          <w:lang w:val="en-US"/>
        </w:rPr>
        <w:t xml:space="preserve"> &amp; NPA) in line with the </w:t>
      </w:r>
      <w:r w:rsidRPr="00E4449B">
        <w:rPr>
          <w:rFonts w:eastAsia="Calibri"/>
          <w:i/>
          <w:iCs/>
          <w:lang w:val="en-US"/>
        </w:rPr>
        <w:t>Queensland Planning Act 2016</w:t>
      </w:r>
    </w:p>
    <w:p w14:paraId="3D25B9FB" w14:textId="38B1E1A6" w:rsidR="004E197D" w:rsidRPr="00E4449B" w:rsidRDefault="004E197D" w:rsidP="00D21656">
      <w:pPr>
        <w:pStyle w:val="ListBullet"/>
        <w:rPr>
          <w:rFonts w:eastAsia="Calibri"/>
          <w:lang w:val="en-US"/>
        </w:rPr>
      </w:pPr>
      <w:r w:rsidRPr="00E4449B">
        <w:rPr>
          <w:rFonts w:eastAsia="Calibri"/>
          <w:lang w:val="en-US"/>
        </w:rPr>
        <w:t>support</w:t>
      </w:r>
      <w:r w:rsidR="002A1D7A" w:rsidRPr="00E4449B">
        <w:rPr>
          <w:rFonts w:eastAsia="Calibri"/>
          <w:lang w:val="en-US"/>
        </w:rPr>
        <w:t>ed</w:t>
      </w:r>
      <w:r w:rsidRPr="00E4449B">
        <w:rPr>
          <w:rFonts w:eastAsia="Calibri"/>
          <w:lang w:val="en-US"/>
        </w:rPr>
        <w:t xml:space="preserve"> the Torres Shire Council in developing a new Planning Scheme and Local Government Infrastructure Plan (LGIP) to ensure compliance with the </w:t>
      </w:r>
      <w:r w:rsidRPr="00E4449B">
        <w:rPr>
          <w:rFonts w:eastAsia="Calibri"/>
          <w:i/>
          <w:iCs/>
          <w:lang w:val="en-US"/>
        </w:rPr>
        <w:t>Queensland Planning Act 2016</w:t>
      </w:r>
    </w:p>
    <w:p w14:paraId="6B5C99BD" w14:textId="16F4FBC4" w:rsidR="004E197D" w:rsidRPr="00E4449B" w:rsidRDefault="004E197D" w:rsidP="00D21656">
      <w:pPr>
        <w:pStyle w:val="ListBullet"/>
        <w:rPr>
          <w:rFonts w:eastAsia="Calibri"/>
          <w:lang w:val="en-US"/>
        </w:rPr>
      </w:pPr>
      <w:r w:rsidRPr="00E4449B">
        <w:rPr>
          <w:rFonts w:eastAsia="Calibri"/>
          <w:lang w:val="en-US"/>
        </w:rPr>
        <w:t xml:space="preserve">completed various supportive studies such as natural hazard studies (inclusive of flood, bushfires, </w:t>
      </w:r>
      <w:r w:rsidR="000933CC" w:rsidRPr="00E4449B">
        <w:rPr>
          <w:rFonts w:eastAsia="Calibri"/>
          <w:lang w:val="en-US"/>
        </w:rPr>
        <w:t>t</w:t>
      </w:r>
      <w:r w:rsidRPr="00E4449B">
        <w:rPr>
          <w:rFonts w:eastAsia="Calibri"/>
          <w:lang w:val="en-US"/>
        </w:rPr>
        <w:t xml:space="preserve">urtle nesting areas and </w:t>
      </w:r>
      <w:r w:rsidR="000933CC" w:rsidRPr="00E4449B">
        <w:rPr>
          <w:rFonts w:eastAsia="Calibri"/>
          <w:lang w:val="en-US"/>
        </w:rPr>
        <w:t>c</w:t>
      </w:r>
      <w:r w:rsidRPr="00E4449B">
        <w:rPr>
          <w:rFonts w:eastAsia="Calibri"/>
          <w:lang w:val="en-US"/>
        </w:rPr>
        <w:t xml:space="preserve">ultural </w:t>
      </w:r>
      <w:r w:rsidR="000933CC" w:rsidRPr="00E4449B">
        <w:rPr>
          <w:rFonts w:eastAsia="Calibri"/>
          <w:lang w:val="en-US"/>
        </w:rPr>
        <w:t>h</w:t>
      </w:r>
      <w:r w:rsidRPr="00E4449B">
        <w:rPr>
          <w:rFonts w:eastAsia="Calibri"/>
          <w:lang w:val="en-US"/>
        </w:rPr>
        <w:t xml:space="preserve">eritage) in Torres Shire, Mapoon and </w:t>
      </w:r>
      <w:proofErr w:type="spellStart"/>
      <w:r w:rsidRPr="00E4449B">
        <w:rPr>
          <w:rFonts w:eastAsia="Calibri"/>
          <w:lang w:val="en-US"/>
        </w:rPr>
        <w:t>Kowanyama</w:t>
      </w:r>
      <w:proofErr w:type="spellEnd"/>
      <w:r w:rsidRPr="00E4449B">
        <w:rPr>
          <w:rFonts w:eastAsia="Calibri"/>
          <w:lang w:val="en-US"/>
        </w:rPr>
        <w:t xml:space="preserve"> which support the development of State Planning Policy (SPP) compliant planning schemes.</w:t>
      </w:r>
    </w:p>
    <w:p w14:paraId="5A82D368" w14:textId="3BFC91A7" w:rsidR="004E197D" w:rsidRPr="00E4449B" w:rsidRDefault="004E197D" w:rsidP="00D21656">
      <w:pPr>
        <w:pStyle w:val="Heading5"/>
      </w:pPr>
      <w:r w:rsidRPr="00E4449B">
        <w:t>Development applications</w:t>
      </w:r>
    </w:p>
    <w:p w14:paraId="4BBB71CE" w14:textId="2A066570" w:rsidR="00D175D3" w:rsidRPr="00E4449B" w:rsidRDefault="00D175D3" w:rsidP="00E43202">
      <w:pPr>
        <w:spacing w:after="120"/>
        <w:rPr>
          <w:rFonts w:eastAsia="Calibri"/>
          <w:bCs/>
          <w:lang w:val="en-US" w:eastAsia="en-US"/>
        </w:rPr>
      </w:pPr>
      <w:r w:rsidRPr="00E4449B">
        <w:rPr>
          <w:rFonts w:eastAsia="Calibri"/>
          <w:bCs/>
          <w:lang w:val="en-US" w:eastAsia="en-US"/>
        </w:rPr>
        <w:t>During the reporting period, the department</w:t>
      </w:r>
      <w:r w:rsidRPr="00E4449B">
        <w:rPr>
          <w:rFonts w:eastAsia="Calibri"/>
          <w:lang w:val="en-US" w:eastAsia="en-US"/>
        </w:rPr>
        <w:t xml:space="preserve"> prepared and managed 16 development applications on behalf of Councils, including</w:t>
      </w:r>
      <w:r w:rsidRPr="00E4449B">
        <w:rPr>
          <w:rFonts w:eastAsia="Calibri"/>
          <w:bCs/>
          <w:lang w:val="en-US" w:eastAsia="en-US"/>
        </w:rPr>
        <w:t>:</w:t>
      </w:r>
    </w:p>
    <w:p w14:paraId="419C95FC" w14:textId="3FF3A36E" w:rsidR="004E197D" w:rsidRPr="00E4449B" w:rsidRDefault="004E197D" w:rsidP="00D21656">
      <w:pPr>
        <w:pStyle w:val="ListBullet"/>
        <w:rPr>
          <w:rFonts w:eastAsia="Calibri"/>
          <w:lang w:val="en-US"/>
        </w:rPr>
      </w:pPr>
      <w:r w:rsidRPr="00E4449B">
        <w:rPr>
          <w:rFonts w:eastAsia="Calibri"/>
          <w:lang w:val="en-US"/>
        </w:rPr>
        <w:t xml:space="preserve">the issue of five decision notices providing for 104 residential lots, three lots promoting economic development, two lots to provide for health care </w:t>
      </w:r>
      <w:proofErr w:type="spellStart"/>
      <w:r w:rsidRPr="00E4449B">
        <w:rPr>
          <w:rFonts w:eastAsia="Calibri"/>
          <w:lang w:val="en-US"/>
        </w:rPr>
        <w:t>centr</w:t>
      </w:r>
      <w:r w:rsidR="006D4747">
        <w:rPr>
          <w:rFonts w:eastAsia="Calibri"/>
          <w:lang w:val="en-US"/>
        </w:rPr>
        <w:t>e</w:t>
      </w:r>
      <w:r w:rsidRPr="00E4449B">
        <w:rPr>
          <w:rFonts w:eastAsia="Calibri"/>
          <w:lang w:val="en-US"/>
        </w:rPr>
        <w:t>s</w:t>
      </w:r>
      <w:proofErr w:type="spellEnd"/>
      <w:r w:rsidRPr="00E4449B">
        <w:rPr>
          <w:rFonts w:eastAsia="Calibri"/>
          <w:lang w:val="en-US"/>
        </w:rPr>
        <w:t>, one allotment for outdoor sport and recreation facility and two lots for building works application</w:t>
      </w:r>
    </w:p>
    <w:p w14:paraId="2F32B758" w14:textId="24068562" w:rsidR="004E197D" w:rsidRPr="00E4449B" w:rsidRDefault="000933CC" w:rsidP="00D21656">
      <w:pPr>
        <w:pStyle w:val="ListBullet"/>
        <w:rPr>
          <w:rFonts w:eastAsia="Calibri"/>
          <w:lang w:val="en-US"/>
        </w:rPr>
      </w:pPr>
      <w:r w:rsidRPr="00E4449B">
        <w:rPr>
          <w:rFonts w:eastAsia="Calibri"/>
          <w:lang w:val="en-US"/>
        </w:rPr>
        <w:t>p</w:t>
      </w:r>
      <w:r w:rsidR="004E197D" w:rsidRPr="00E4449B">
        <w:rPr>
          <w:rFonts w:eastAsia="Calibri"/>
          <w:lang w:val="en-US"/>
        </w:rPr>
        <w:t>reparing of eight development applications including one application for five residential allotments, two applications for community uses and one road application.</w:t>
      </w:r>
    </w:p>
    <w:p w14:paraId="47B079CB" w14:textId="271408A0" w:rsidR="004E197D" w:rsidRPr="00E4449B" w:rsidRDefault="004E197D" w:rsidP="00E43202">
      <w:pPr>
        <w:spacing w:after="120"/>
        <w:rPr>
          <w:rFonts w:eastAsia="Calibri"/>
          <w:lang w:val="en-US" w:eastAsia="en-US"/>
        </w:rPr>
      </w:pPr>
      <w:r w:rsidRPr="00E4449B">
        <w:rPr>
          <w:rFonts w:eastAsia="Calibri"/>
          <w:lang w:val="en-US" w:eastAsia="en-US"/>
        </w:rPr>
        <w:t xml:space="preserve">On behalf of the State Government, </w:t>
      </w:r>
      <w:r w:rsidR="002A1D7A" w:rsidRPr="00E4449B">
        <w:rPr>
          <w:rFonts w:eastAsia="Calibri"/>
          <w:lang w:val="en-US" w:eastAsia="en-US"/>
        </w:rPr>
        <w:t>prepared and managed:</w:t>
      </w:r>
    </w:p>
    <w:p w14:paraId="583D3DE1" w14:textId="469B96B9" w:rsidR="004E197D" w:rsidRPr="00E4449B" w:rsidRDefault="004E197D" w:rsidP="00D21656">
      <w:pPr>
        <w:pStyle w:val="ListBullet"/>
        <w:rPr>
          <w:rFonts w:eastAsia="Calibri"/>
          <w:lang w:val="en-US"/>
        </w:rPr>
      </w:pPr>
      <w:r w:rsidRPr="00E4449B">
        <w:rPr>
          <w:rFonts w:eastAsia="Calibri"/>
          <w:lang w:val="en-US"/>
        </w:rPr>
        <w:t>two development applications for home ownership lots</w:t>
      </w:r>
    </w:p>
    <w:p w14:paraId="407BD879" w14:textId="59F224AD" w:rsidR="004E197D" w:rsidRPr="00E4449B" w:rsidRDefault="004E197D" w:rsidP="00D21656">
      <w:pPr>
        <w:pStyle w:val="ListBullet"/>
        <w:rPr>
          <w:rFonts w:eastAsia="Calibri"/>
          <w:lang w:val="en-US"/>
        </w:rPr>
      </w:pPr>
      <w:r w:rsidRPr="00E4449B">
        <w:rPr>
          <w:rFonts w:eastAsia="Calibri"/>
          <w:lang w:val="en-US"/>
        </w:rPr>
        <w:t>one road closure application.</w:t>
      </w:r>
    </w:p>
    <w:p w14:paraId="182E629C" w14:textId="77777777" w:rsidR="00DA40F7" w:rsidRPr="00E4449B" w:rsidRDefault="00DA40F7" w:rsidP="00D21656">
      <w:pPr>
        <w:rPr>
          <w:rFonts w:eastAsia="Calibri"/>
          <w:lang w:val="en-US" w:eastAsia="en-US"/>
        </w:rPr>
      </w:pPr>
      <w:bookmarkStart w:id="93" w:name="_Toc67046697"/>
      <w:bookmarkStart w:id="94" w:name="_Toc78287390"/>
      <w:bookmarkStart w:id="95" w:name="_Toc78355797"/>
      <w:r w:rsidRPr="00E4449B">
        <w:rPr>
          <w:rFonts w:eastAsia="Calibri"/>
          <w:lang w:val="en-US" w:eastAsia="en-US"/>
        </w:rPr>
        <w:t>On behalf of the community survey program, prepared and managed:</w:t>
      </w:r>
    </w:p>
    <w:p w14:paraId="4689A65B" w14:textId="77777777" w:rsidR="00DA40F7" w:rsidRPr="00E4449B" w:rsidRDefault="00DA40F7" w:rsidP="00D21656">
      <w:pPr>
        <w:pStyle w:val="ListBullet"/>
        <w:rPr>
          <w:rFonts w:eastAsia="Calibri"/>
          <w:lang w:val="en-US"/>
        </w:rPr>
      </w:pPr>
      <w:r w:rsidRPr="00E4449B">
        <w:rPr>
          <w:rFonts w:eastAsia="Calibri"/>
          <w:lang w:val="en-US"/>
        </w:rPr>
        <w:t xml:space="preserve">two development applications, which will provide the </w:t>
      </w:r>
      <w:proofErr w:type="spellStart"/>
      <w:r w:rsidRPr="00E4449B">
        <w:rPr>
          <w:rFonts w:eastAsia="Calibri"/>
          <w:lang w:val="en-US"/>
        </w:rPr>
        <w:t>formalisation</w:t>
      </w:r>
      <w:proofErr w:type="spellEnd"/>
      <w:r w:rsidRPr="00E4449B">
        <w:rPr>
          <w:rFonts w:eastAsia="Calibri"/>
          <w:lang w:val="en-US"/>
        </w:rPr>
        <w:t xml:space="preserve"> of roads and easements within communities</w:t>
      </w:r>
    </w:p>
    <w:p w14:paraId="29BFC6EE" w14:textId="77777777" w:rsidR="00DA40F7" w:rsidRPr="00E4449B" w:rsidRDefault="00DA40F7" w:rsidP="00D21656">
      <w:pPr>
        <w:pStyle w:val="ListBullet"/>
        <w:rPr>
          <w:rFonts w:eastAsia="Calibri"/>
          <w:lang w:val="en-US"/>
        </w:rPr>
      </w:pPr>
      <w:r w:rsidRPr="00E4449B">
        <w:rPr>
          <w:rFonts w:eastAsia="Calibri"/>
          <w:lang w:val="en-US"/>
        </w:rPr>
        <w:t>one development application, which will provide for simultaneous road opening and road closure to realign the road onto the existing public used alignments.</w:t>
      </w:r>
    </w:p>
    <w:p w14:paraId="5E98D9C1" w14:textId="534DE288" w:rsidR="004E197D" w:rsidRPr="00E4449B" w:rsidRDefault="004E197D" w:rsidP="007524AB">
      <w:pPr>
        <w:pStyle w:val="Heading3"/>
      </w:pPr>
      <w:r w:rsidRPr="00E4449B">
        <w:t>Community survey programs</w:t>
      </w:r>
      <w:bookmarkEnd w:id="93"/>
      <w:bookmarkEnd w:id="94"/>
      <w:bookmarkEnd w:id="95"/>
    </w:p>
    <w:p w14:paraId="28E6A7B1" w14:textId="77777777" w:rsidR="004E197D" w:rsidRPr="00E4449B" w:rsidRDefault="004E197D" w:rsidP="00D21656">
      <w:pPr>
        <w:rPr>
          <w:rFonts w:eastAsia="Calibri"/>
          <w:w w:val="105"/>
          <w:lang w:val="en-US" w:eastAsia="en-US"/>
        </w:rPr>
      </w:pPr>
      <w:r w:rsidRPr="00E4449B">
        <w:rPr>
          <w:rFonts w:eastAsia="Calibri"/>
          <w:w w:val="105"/>
          <w:lang w:val="en-US" w:eastAsia="en-US"/>
        </w:rPr>
        <w:t xml:space="preserve">The department led programs to </w:t>
      </w:r>
      <w:proofErr w:type="spellStart"/>
      <w:r w:rsidRPr="00E4449B">
        <w:rPr>
          <w:rFonts w:eastAsia="Calibri"/>
          <w:w w:val="105"/>
          <w:lang w:val="en-US" w:eastAsia="en-US"/>
        </w:rPr>
        <w:t>standardise</w:t>
      </w:r>
      <w:proofErr w:type="spellEnd"/>
      <w:r w:rsidRPr="00E4449B">
        <w:rPr>
          <w:rFonts w:eastAsia="Calibri"/>
          <w:w w:val="105"/>
          <w:lang w:val="en-US" w:eastAsia="en-US"/>
        </w:rPr>
        <w:t xml:space="preserve"> survey infrastructure and to progress economic development throughout the remote and discrete Aboriginal and Torres Strait Islander communities in Queensland.</w:t>
      </w:r>
    </w:p>
    <w:p w14:paraId="33BBFE54" w14:textId="5327B977" w:rsidR="004E197D" w:rsidRPr="00E4449B" w:rsidRDefault="004E197D" w:rsidP="00E43202">
      <w:pPr>
        <w:spacing w:after="120"/>
        <w:rPr>
          <w:rFonts w:eastAsia="Calibri"/>
          <w:color w:val="414042"/>
          <w:spacing w:val="-1"/>
          <w:lang w:val="en-US" w:eastAsia="en-US"/>
        </w:rPr>
      </w:pPr>
      <w:r w:rsidRPr="00E4449B">
        <w:rPr>
          <w:rFonts w:eastAsia="Calibri"/>
          <w:w w:val="105"/>
          <w:lang w:val="en-US" w:eastAsia="en-US"/>
        </w:rPr>
        <w:t xml:space="preserve">Although the implementation of the survey programs has resulted in </w:t>
      </w:r>
      <w:r w:rsidR="00763B81" w:rsidRPr="00E4449B">
        <w:rPr>
          <w:rFonts w:eastAsia="Calibri"/>
          <w:w w:val="105"/>
          <w:lang w:val="en-US" w:eastAsia="en-US"/>
        </w:rPr>
        <w:t xml:space="preserve">the </w:t>
      </w:r>
      <w:r w:rsidRPr="00E4449B">
        <w:rPr>
          <w:rFonts w:eastAsia="Calibri"/>
          <w:w w:val="105"/>
          <w:lang w:val="en-US" w:eastAsia="en-US"/>
        </w:rPr>
        <w:t>resolution of most of the long outstanding land tenure issues, ongoing surveying is required to deliver outcomes in line with Master Planning and new community aspirations</w:t>
      </w:r>
      <w:r w:rsidR="00763B81" w:rsidRPr="00E4449B">
        <w:rPr>
          <w:rFonts w:eastAsia="Calibri"/>
          <w:w w:val="105"/>
          <w:lang w:val="en-US" w:eastAsia="en-US"/>
        </w:rPr>
        <w:t>,</w:t>
      </w:r>
      <w:r w:rsidRPr="00E4449B">
        <w:rPr>
          <w:rFonts w:eastAsia="Calibri"/>
          <w:w w:val="105"/>
          <w:lang w:val="en-US" w:eastAsia="en-US"/>
        </w:rPr>
        <w:t xml:space="preserve"> including improved land management, new roads, social housing, home ownership, and private and commercial leasing.</w:t>
      </w:r>
    </w:p>
    <w:p w14:paraId="4E18ABDD" w14:textId="3602DB01" w:rsidR="004E197D" w:rsidRPr="00E4449B" w:rsidRDefault="004E197D" w:rsidP="00D21656">
      <w:pPr>
        <w:pStyle w:val="Heading4"/>
      </w:pPr>
      <w:r w:rsidRPr="00E4449B">
        <w:t>Key achievements</w:t>
      </w:r>
    </w:p>
    <w:p w14:paraId="269887DC" w14:textId="7EAB6A6B" w:rsidR="00763B81" w:rsidRPr="00E4449B" w:rsidRDefault="00763B81" w:rsidP="00E43202">
      <w:pPr>
        <w:spacing w:after="120"/>
        <w:rPr>
          <w:rFonts w:eastAsia="Calibri"/>
          <w:lang w:val="en-US" w:eastAsia="en-US"/>
        </w:rPr>
      </w:pPr>
      <w:r w:rsidRPr="00E4449B">
        <w:rPr>
          <w:rFonts w:eastAsia="Calibri"/>
          <w:lang w:val="en-US" w:eastAsia="en-US"/>
        </w:rPr>
        <w:t>During the reporting period, the department:</w:t>
      </w:r>
    </w:p>
    <w:p w14:paraId="238624D7" w14:textId="166AF8DA" w:rsidR="004E197D" w:rsidRPr="00E4449B" w:rsidRDefault="00763B81" w:rsidP="00D21656">
      <w:pPr>
        <w:pStyle w:val="ListBullet"/>
        <w:rPr>
          <w:rFonts w:eastAsia="Calibri"/>
          <w:w w:val="105"/>
          <w:lang w:val="en-US" w:eastAsia="en-US"/>
        </w:rPr>
      </w:pPr>
      <w:r w:rsidRPr="00E4449B">
        <w:rPr>
          <w:rFonts w:eastAsia="Calibri"/>
          <w:w w:val="105"/>
          <w:lang w:val="en-US" w:eastAsia="en-US"/>
        </w:rPr>
        <w:t xml:space="preserve">managed </w:t>
      </w:r>
      <w:r w:rsidR="004E197D" w:rsidRPr="00E4449B">
        <w:rPr>
          <w:rFonts w:eastAsia="Calibri"/>
          <w:w w:val="105"/>
          <w:lang w:val="en-US" w:eastAsia="en-US"/>
        </w:rPr>
        <w:t>a community survey program which delivered 34 new lots on six plans</w:t>
      </w:r>
    </w:p>
    <w:p w14:paraId="18EF4BAB" w14:textId="03C020D5" w:rsidR="00761A9F" w:rsidRPr="00354828" w:rsidRDefault="00763B81" w:rsidP="007524AB">
      <w:pPr>
        <w:pStyle w:val="ListBullet"/>
        <w:rPr>
          <w:rFonts w:eastAsia="Calibri"/>
          <w:w w:val="105"/>
          <w:lang w:val="en-US" w:eastAsia="en-US"/>
        </w:rPr>
      </w:pPr>
      <w:r w:rsidRPr="00E4449B">
        <w:rPr>
          <w:rFonts w:eastAsia="Calibri"/>
          <w:w w:val="105"/>
          <w:lang w:val="en-US" w:eastAsia="en-US"/>
        </w:rPr>
        <w:t xml:space="preserve">progressed </w:t>
      </w:r>
      <w:r w:rsidR="004E197D" w:rsidRPr="00E4449B">
        <w:rPr>
          <w:rFonts w:eastAsia="Calibri"/>
          <w:w w:val="105"/>
          <w:lang w:val="en-US" w:eastAsia="en-US"/>
        </w:rPr>
        <w:t>Digital Asset Management Plans for 31 communities.</w:t>
      </w:r>
      <w:bookmarkStart w:id="96" w:name="_Toc67046698"/>
      <w:bookmarkStart w:id="97" w:name="_Toc78287391"/>
      <w:bookmarkStart w:id="98" w:name="_Toc78355798"/>
    </w:p>
    <w:p w14:paraId="6E6506FD" w14:textId="3AAE4F11" w:rsidR="004E197D" w:rsidRPr="00E4449B" w:rsidRDefault="00354828" w:rsidP="007524AB">
      <w:pPr>
        <w:pStyle w:val="Heading3"/>
      </w:pPr>
      <w:r>
        <w:br w:type="column"/>
      </w:r>
      <w:r w:rsidR="004E197D" w:rsidRPr="00E4449B">
        <w:lastRenderedPageBreak/>
        <w:t>Indigenous Land Use Agreements</w:t>
      </w:r>
      <w:bookmarkEnd w:id="96"/>
      <w:bookmarkEnd w:id="97"/>
      <w:bookmarkEnd w:id="98"/>
    </w:p>
    <w:p w14:paraId="34CA0455" w14:textId="77777777" w:rsidR="004E197D" w:rsidRPr="00E4449B" w:rsidRDefault="004E197D" w:rsidP="00D21656">
      <w:pPr>
        <w:rPr>
          <w:rFonts w:eastAsia="Calibri"/>
          <w:w w:val="105"/>
          <w:lang w:val="en-US" w:eastAsia="en-US"/>
        </w:rPr>
      </w:pPr>
      <w:r w:rsidRPr="00E4449B">
        <w:rPr>
          <w:rFonts w:eastAsia="Calibri"/>
          <w:w w:val="105"/>
          <w:lang w:val="en-US" w:eastAsia="en-US"/>
        </w:rPr>
        <w:t>Indigenous Land Use Agreements are voluntary agreements between Native Title parties and others about the use and management of land. Indigenous Land Use Agreements allow Aboriginal peoples and Torres Strait Islander peoples to negotiate flexible arrangements that suit their circumstances and aspirations.</w:t>
      </w:r>
    </w:p>
    <w:p w14:paraId="4515046D" w14:textId="3B7F62E7" w:rsidR="004E197D" w:rsidRPr="00E4449B" w:rsidRDefault="004E197D" w:rsidP="00D21656">
      <w:pPr>
        <w:rPr>
          <w:rFonts w:eastAsia="Calibri"/>
          <w:color w:val="414042"/>
          <w:spacing w:val="-1"/>
          <w:lang w:val="en-US" w:eastAsia="en-US"/>
        </w:rPr>
      </w:pPr>
      <w:r w:rsidRPr="00E4449B">
        <w:rPr>
          <w:rFonts w:eastAsia="Calibri"/>
          <w:w w:val="105"/>
          <w:lang w:val="en-US" w:eastAsia="en-US"/>
        </w:rPr>
        <w:t>The department works with councils, other state government agencies, Traditional Owners and Registered Native Title Bodies Corporates on negotiating various types of land use agreements to support economic development for communities. Agreements negotiated usually provide for state, Commonwealth or local government infrastructure development, home ownership or leasing, social housing construction or leasing, and commercial leasing. They also provide an up-front compensation amount for some future acts, body corporate fees for service</w:t>
      </w:r>
      <w:r w:rsidR="00763B81" w:rsidRPr="00E4449B">
        <w:rPr>
          <w:rFonts w:eastAsia="Calibri"/>
          <w:w w:val="105"/>
          <w:lang w:val="en-US" w:eastAsia="en-US"/>
        </w:rPr>
        <w:t>,</w:t>
      </w:r>
      <w:r w:rsidRPr="00E4449B">
        <w:rPr>
          <w:rFonts w:eastAsia="Calibri"/>
          <w:w w:val="105"/>
          <w:lang w:val="en-US" w:eastAsia="en-US"/>
        </w:rPr>
        <w:t xml:space="preserve"> and cultural heritage clearance procedures</w:t>
      </w:r>
      <w:r w:rsidR="00763B81" w:rsidRPr="00E4449B">
        <w:rPr>
          <w:rFonts w:eastAsia="Calibri"/>
          <w:w w:val="105"/>
          <w:lang w:val="en-US" w:eastAsia="en-US"/>
        </w:rPr>
        <w:t xml:space="preserve">, </w:t>
      </w:r>
      <w:r w:rsidRPr="00E4449B">
        <w:rPr>
          <w:rFonts w:eastAsia="Calibri"/>
          <w:w w:val="105"/>
          <w:lang w:val="en-US" w:eastAsia="en-US"/>
        </w:rPr>
        <w:t>including remuneration for cultural heritage monitors.</w:t>
      </w:r>
    </w:p>
    <w:p w14:paraId="52579161" w14:textId="3F81FE20" w:rsidR="004E197D" w:rsidRPr="00E4449B" w:rsidRDefault="004E197D" w:rsidP="00D21656">
      <w:pPr>
        <w:pStyle w:val="Heading4"/>
      </w:pPr>
      <w:bookmarkStart w:id="99" w:name="_Hlk78203470"/>
      <w:r w:rsidRPr="00E4449B">
        <w:t>Key achievements</w:t>
      </w:r>
    </w:p>
    <w:p w14:paraId="048DE902" w14:textId="5192AAEA" w:rsidR="00763B81" w:rsidRPr="00E4449B" w:rsidRDefault="00763B81" w:rsidP="00D21656">
      <w:pPr>
        <w:rPr>
          <w:rFonts w:eastAsia="Calibri"/>
          <w:w w:val="105"/>
          <w:lang w:val="en-US" w:eastAsia="en-US"/>
        </w:rPr>
      </w:pPr>
      <w:r w:rsidRPr="00E4449B">
        <w:rPr>
          <w:rFonts w:eastAsia="Calibri"/>
          <w:w w:val="105"/>
          <w:lang w:val="en-US" w:eastAsia="en-US"/>
        </w:rPr>
        <w:t>During the reporting period, the department provided advice to Prescribed Body Corporates, and progressed and completed the following Indigenous Land Use Agreements:</w:t>
      </w:r>
    </w:p>
    <w:p w14:paraId="04711088" w14:textId="4F011EDC" w:rsidR="004E197D" w:rsidRPr="00D21656" w:rsidRDefault="004E197D" w:rsidP="00D21656">
      <w:pPr>
        <w:pStyle w:val="Heading5"/>
      </w:pPr>
      <w:r w:rsidRPr="00D21656">
        <w:t>Torres Strait Infrastructure and Housing</w:t>
      </w:r>
      <w:r w:rsidR="004859D4" w:rsidRPr="00D21656">
        <w:t xml:space="preserve"> Indigenous Land Use Agreements</w:t>
      </w:r>
    </w:p>
    <w:p w14:paraId="0093E02A" w14:textId="40D5E4FC" w:rsidR="004E197D" w:rsidRPr="00E4449B" w:rsidRDefault="004E197D" w:rsidP="00D21656">
      <w:pPr>
        <w:pStyle w:val="ListBullet"/>
        <w:rPr>
          <w:rFonts w:eastAsia="Calibri"/>
          <w:w w:val="105"/>
          <w:lang w:val="en-US" w:eastAsia="en-US"/>
        </w:rPr>
      </w:pPr>
      <w:r w:rsidRPr="00E4449B">
        <w:rPr>
          <w:rFonts w:eastAsia="Calibri"/>
          <w:w w:val="105"/>
          <w:lang w:val="en-US" w:eastAsia="en-US"/>
        </w:rPr>
        <w:t xml:space="preserve">two executed </w:t>
      </w:r>
      <w:r w:rsidR="004859D4" w:rsidRPr="00E4449B">
        <w:rPr>
          <w:rFonts w:eastAsia="Calibri"/>
          <w:w w:val="105"/>
          <w:lang w:val="en-US" w:eastAsia="en-US"/>
        </w:rPr>
        <w:t>Indigenous Land Use Agreements</w:t>
      </w:r>
      <w:r w:rsidRPr="00E4449B">
        <w:rPr>
          <w:rFonts w:eastAsia="Calibri"/>
          <w:w w:val="105"/>
          <w:lang w:val="en-US" w:eastAsia="en-US"/>
        </w:rPr>
        <w:t xml:space="preserve"> (</w:t>
      </w:r>
      <w:proofErr w:type="spellStart"/>
      <w:r w:rsidRPr="00E4449B">
        <w:rPr>
          <w:rFonts w:eastAsia="Calibri"/>
          <w:w w:val="105"/>
          <w:lang w:val="en-US" w:eastAsia="en-US"/>
        </w:rPr>
        <w:t>Boigu</w:t>
      </w:r>
      <w:proofErr w:type="spellEnd"/>
      <w:r w:rsidRPr="00E4449B">
        <w:rPr>
          <w:rFonts w:eastAsia="Calibri"/>
          <w:w w:val="105"/>
          <w:lang w:val="en-US" w:eastAsia="en-US"/>
        </w:rPr>
        <w:t xml:space="preserve"> Island and </w:t>
      </w:r>
      <w:proofErr w:type="spellStart"/>
      <w:r w:rsidRPr="00E4449B">
        <w:rPr>
          <w:rFonts w:eastAsia="Calibri"/>
          <w:w w:val="105"/>
          <w:lang w:val="en-US" w:eastAsia="en-US"/>
        </w:rPr>
        <w:t>Dauan</w:t>
      </w:r>
      <w:proofErr w:type="spellEnd"/>
      <w:r w:rsidRPr="00E4449B">
        <w:rPr>
          <w:rFonts w:eastAsia="Calibri"/>
          <w:w w:val="105"/>
          <w:lang w:val="en-US" w:eastAsia="en-US"/>
        </w:rPr>
        <w:t xml:space="preserve"> Island), being </w:t>
      </w:r>
      <w:r w:rsidR="004859D4" w:rsidRPr="00E4449B">
        <w:rPr>
          <w:rFonts w:eastAsia="Calibri"/>
          <w:w w:val="105"/>
          <w:lang w:val="en-US" w:eastAsia="en-US"/>
        </w:rPr>
        <w:t>p</w:t>
      </w:r>
      <w:r w:rsidRPr="00E4449B">
        <w:rPr>
          <w:rFonts w:eastAsia="Calibri"/>
          <w:w w:val="105"/>
          <w:lang w:val="en-US" w:eastAsia="en-US"/>
        </w:rPr>
        <w:t xml:space="preserve">rogressed for registration.  </w:t>
      </w:r>
    </w:p>
    <w:p w14:paraId="440B6BEC" w14:textId="4ECC5EDC" w:rsidR="004E197D" w:rsidRPr="00E4449B" w:rsidRDefault="004E197D" w:rsidP="00D21656">
      <w:pPr>
        <w:pStyle w:val="ListBullet"/>
        <w:rPr>
          <w:rFonts w:eastAsia="Calibri"/>
          <w:w w:val="105"/>
          <w:lang w:val="en-US" w:eastAsia="en-US"/>
        </w:rPr>
      </w:pPr>
      <w:r w:rsidRPr="00E4449B">
        <w:rPr>
          <w:rFonts w:eastAsia="Calibri"/>
          <w:w w:val="105"/>
          <w:lang w:val="en-US" w:eastAsia="en-US"/>
        </w:rPr>
        <w:t xml:space="preserve">two </w:t>
      </w:r>
      <w:r w:rsidR="004859D4" w:rsidRPr="00E4449B">
        <w:rPr>
          <w:rFonts w:eastAsia="Calibri"/>
          <w:w w:val="105"/>
          <w:lang w:val="en-US" w:eastAsia="en-US"/>
        </w:rPr>
        <w:t xml:space="preserve">Indigenous Land Use Agreements </w:t>
      </w:r>
      <w:r w:rsidRPr="00E4449B">
        <w:rPr>
          <w:rFonts w:eastAsia="Calibri"/>
          <w:w w:val="105"/>
          <w:lang w:val="en-US" w:eastAsia="en-US"/>
        </w:rPr>
        <w:t>(</w:t>
      </w:r>
      <w:proofErr w:type="spellStart"/>
      <w:r w:rsidRPr="00E4449B">
        <w:rPr>
          <w:rFonts w:eastAsia="Calibri"/>
          <w:w w:val="105"/>
          <w:lang w:val="en-US" w:eastAsia="en-US"/>
        </w:rPr>
        <w:t>Poruma</w:t>
      </w:r>
      <w:proofErr w:type="spellEnd"/>
      <w:r w:rsidRPr="00E4449B">
        <w:rPr>
          <w:rFonts w:eastAsia="Calibri"/>
          <w:w w:val="105"/>
          <w:lang w:val="en-US" w:eastAsia="en-US"/>
        </w:rPr>
        <w:t xml:space="preserve"> Island and Mer Island) under negotiation (to be </w:t>
      </w:r>
      <w:proofErr w:type="spellStart"/>
      <w:r w:rsidRPr="00E4449B">
        <w:rPr>
          <w:rFonts w:eastAsia="Calibri"/>
          <w:w w:val="105"/>
          <w:lang w:val="en-US" w:eastAsia="en-US"/>
        </w:rPr>
        <w:t>finalised</w:t>
      </w:r>
      <w:proofErr w:type="spellEnd"/>
      <w:r w:rsidRPr="00E4449B">
        <w:rPr>
          <w:rFonts w:eastAsia="Calibri"/>
          <w:w w:val="105"/>
          <w:lang w:val="en-US" w:eastAsia="en-US"/>
        </w:rPr>
        <w:t xml:space="preserve"> by December 2021). </w:t>
      </w:r>
      <w:r w:rsidR="00261E11" w:rsidRPr="00261E11">
        <w:rPr>
          <w:rFonts w:eastAsia="Calibri"/>
          <w:w w:val="105"/>
          <w:lang w:val="en-US" w:eastAsia="en-US"/>
        </w:rPr>
        <w:t xml:space="preserve">Once </w:t>
      </w:r>
      <w:proofErr w:type="spellStart"/>
      <w:r w:rsidR="00261E11" w:rsidRPr="00261E11">
        <w:rPr>
          <w:rFonts w:eastAsia="Calibri"/>
          <w:w w:val="105"/>
          <w:lang w:val="en-US" w:eastAsia="en-US"/>
        </w:rPr>
        <w:t>Poruma</w:t>
      </w:r>
      <w:proofErr w:type="spellEnd"/>
      <w:r w:rsidR="00261E11">
        <w:rPr>
          <w:rFonts w:eastAsia="Calibri"/>
          <w:w w:val="105"/>
          <w:lang w:val="en-US" w:eastAsia="en-US"/>
        </w:rPr>
        <w:t xml:space="preserve"> Island</w:t>
      </w:r>
      <w:r w:rsidR="00261E11" w:rsidRPr="00261E11">
        <w:rPr>
          <w:rFonts w:eastAsia="Calibri"/>
          <w:w w:val="105"/>
          <w:lang w:val="en-US" w:eastAsia="en-US"/>
        </w:rPr>
        <w:t xml:space="preserve"> and Mer</w:t>
      </w:r>
      <w:r w:rsidR="00261E11">
        <w:rPr>
          <w:rFonts w:eastAsia="Calibri"/>
          <w:w w:val="105"/>
          <w:lang w:val="en-US" w:eastAsia="en-US"/>
        </w:rPr>
        <w:t xml:space="preserve"> Island agreements</w:t>
      </w:r>
      <w:r w:rsidR="00261E11" w:rsidRPr="00261E11">
        <w:rPr>
          <w:rFonts w:eastAsia="Calibri"/>
          <w:w w:val="105"/>
          <w:lang w:val="en-US" w:eastAsia="en-US"/>
        </w:rPr>
        <w:t xml:space="preserve"> are </w:t>
      </w:r>
      <w:proofErr w:type="spellStart"/>
      <w:r w:rsidR="00261E11" w:rsidRPr="00261E11">
        <w:rPr>
          <w:rFonts w:eastAsia="Calibri"/>
          <w:w w:val="105"/>
          <w:lang w:val="en-US" w:eastAsia="en-US"/>
        </w:rPr>
        <w:t>finalised</w:t>
      </w:r>
      <w:proofErr w:type="spellEnd"/>
      <w:r w:rsidR="00261E11" w:rsidRPr="00261E11">
        <w:rPr>
          <w:rFonts w:eastAsia="Calibri"/>
          <w:w w:val="105"/>
          <w:lang w:val="en-US" w:eastAsia="en-US"/>
        </w:rPr>
        <w:t>, all islands in the Torres Strait where native title has been determined will have Infrastructure and Housing Indigenous Land Use Agreements in place.</w:t>
      </w:r>
    </w:p>
    <w:p w14:paraId="525F92B4" w14:textId="7E0F64ED" w:rsidR="004E197D" w:rsidRPr="00D21656" w:rsidRDefault="004E197D" w:rsidP="00D21656">
      <w:pPr>
        <w:pStyle w:val="Heading5"/>
      </w:pPr>
      <w:r w:rsidRPr="00D21656">
        <w:t xml:space="preserve">Township </w:t>
      </w:r>
      <w:r w:rsidR="004859D4" w:rsidRPr="00D21656">
        <w:t>Indigenous Land Use Agreements</w:t>
      </w:r>
    </w:p>
    <w:p w14:paraId="378BE52C" w14:textId="2C0EEBE2" w:rsidR="004E197D" w:rsidRPr="00E4449B" w:rsidRDefault="004E197D" w:rsidP="00D21656">
      <w:pPr>
        <w:pStyle w:val="ListBullet"/>
        <w:rPr>
          <w:rFonts w:eastAsia="Calibri"/>
          <w:w w:val="105"/>
          <w:lang w:val="en-US" w:eastAsia="en-US"/>
        </w:rPr>
      </w:pPr>
      <w:r w:rsidRPr="00E4449B">
        <w:rPr>
          <w:rFonts w:eastAsia="Calibri"/>
          <w:w w:val="105"/>
          <w:lang w:val="en-US" w:eastAsia="en-US"/>
        </w:rPr>
        <w:t xml:space="preserve">Cherbourg and Lockhart River Township </w:t>
      </w:r>
      <w:r w:rsidR="004859D4" w:rsidRPr="00E4449B">
        <w:rPr>
          <w:rFonts w:eastAsia="Calibri"/>
          <w:w w:val="105"/>
          <w:lang w:val="en-US" w:eastAsia="en-US"/>
        </w:rPr>
        <w:t>Indigenous Land Use Agreements</w:t>
      </w:r>
      <w:r w:rsidRPr="00E4449B">
        <w:rPr>
          <w:rFonts w:eastAsia="Calibri"/>
          <w:w w:val="105"/>
          <w:lang w:val="en-US" w:eastAsia="en-US"/>
        </w:rPr>
        <w:t xml:space="preserve"> under negotiation.  </w:t>
      </w:r>
    </w:p>
    <w:p w14:paraId="0CE3A466" w14:textId="00E04123" w:rsidR="004E197D" w:rsidRPr="00E4449B" w:rsidRDefault="004E197D" w:rsidP="00D21656">
      <w:pPr>
        <w:pStyle w:val="ListBullet"/>
        <w:rPr>
          <w:rFonts w:eastAsia="Calibri"/>
          <w:w w:val="105"/>
          <w:lang w:val="en-US" w:eastAsia="en-US"/>
        </w:rPr>
      </w:pPr>
      <w:r w:rsidRPr="00E4449B">
        <w:rPr>
          <w:rFonts w:eastAsia="Calibri"/>
          <w:w w:val="105"/>
          <w:lang w:val="en-US" w:eastAsia="en-US"/>
        </w:rPr>
        <w:t xml:space="preserve">Land tenure and survey assistance to </w:t>
      </w:r>
      <w:proofErr w:type="spellStart"/>
      <w:r w:rsidRPr="00E4449B">
        <w:rPr>
          <w:rFonts w:eastAsia="Calibri"/>
          <w:w w:val="105"/>
          <w:lang w:val="en-US" w:eastAsia="en-US"/>
        </w:rPr>
        <w:t>Hopevale</w:t>
      </w:r>
      <w:proofErr w:type="spellEnd"/>
      <w:r w:rsidRPr="00E4449B">
        <w:rPr>
          <w:rFonts w:eastAsia="Calibri"/>
          <w:w w:val="105"/>
          <w:lang w:val="en-US" w:eastAsia="en-US"/>
        </w:rPr>
        <w:t xml:space="preserve"> Congress </w:t>
      </w:r>
      <w:r w:rsidR="00F77609" w:rsidRPr="00E4449B">
        <w:rPr>
          <w:rFonts w:eastAsia="Calibri"/>
          <w:w w:val="105"/>
          <w:lang w:val="en-US" w:eastAsia="en-US"/>
        </w:rPr>
        <w:t>Prescribed Body Corporate</w:t>
      </w:r>
      <w:r w:rsidRPr="00E4449B">
        <w:rPr>
          <w:rFonts w:eastAsia="Calibri"/>
          <w:color w:val="FF0000"/>
          <w:w w:val="105"/>
          <w:lang w:val="en-US" w:eastAsia="en-US"/>
        </w:rPr>
        <w:t xml:space="preserve"> </w:t>
      </w:r>
      <w:r w:rsidRPr="00E4449B">
        <w:rPr>
          <w:rFonts w:eastAsia="Calibri"/>
          <w:w w:val="105"/>
          <w:lang w:val="en-US" w:eastAsia="en-US"/>
        </w:rPr>
        <w:t xml:space="preserve">to enable the successful completion of Tenure Resolution </w:t>
      </w:r>
      <w:r w:rsidR="004859D4" w:rsidRPr="00E4449B">
        <w:rPr>
          <w:rFonts w:eastAsia="Calibri"/>
          <w:w w:val="105"/>
          <w:lang w:val="en-US" w:eastAsia="en-US"/>
        </w:rPr>
        <w:t>Indigenous Land Use Agreements</w:t>
      </w:r>
      <w:r w:rsidRPr="00E4449B">
        <w:rPr>
          <w:rFonts w:eastAsia="Calibri"/>
          <w:w w:val="105"/>
          <w:lang w:val="en-US" w:eastAsia="en-US"/>
        </w:rPr>
        <w:t xml:space="preserve"> on land that is held in trust by Congress under the </w:t>
      </w:r>
      <w:r w:rsidRPr="00E4449B">
        <w:rPr>
          <w:rFonts w:eastAsia="Calibri"/>
          <w:i/>
          <w:iCs/>
          <w:w w:val="105"/>
          <w:lang w:val="en-US" w:eastAsia="en-US"/>
        </w:rPr>
        <w:t>Aboriginal Land Act 1991</w:t>
      </w:r>
      <w:r w:rsidRPr="00E4449B">
        <w:rPr>
          <w:rFonts w:eastAsia="Calibri"/>
          <w:w w:val="105"/>
          <w:lang w:val="en-US" w:eastAsia="en-US"/>
        </w:rPr>
        <w:t xml:space="preserve">.  </w:t>
      </w:r>
    </w:p>
    <w:p w14:paraId="1426A79D" w14:textId="6E40B64E" w:rsidR="004E197D" w:rsidRPr="00D21656" w:rsidRDefault="004E197D" w:rsidP="00D21656">
      <w:pPr>
        <w:pStyle w:val="Heading5"/>
      </w:pPr>
      <w:r w:rsidRPr="00D21656">
        <w:t>Social Housing</w:t>
      </w:r>
      <w:r w:rsidR="004859D4" w:rsidRPr="00D21656">
        <w:t xml:space="preserve"> Indigenous Land Use Agreements template</w:t>
      </w:r>
      <w:r w:rsidRPr="00D21656">
        <w:t xml:space="preserve"> for Aboriginal communities</w:t>
      </w:r>
    </w:p>
    <w:p w14:paraId="267A2362" w14:textId="012ED2AE" w:rsidR="004E197D" w:rsidRPr="00E4449B" w:rsidRDefault="004E197D" w:rsidP="00D21656">
      <w:pPr>
        <w:pStyle w:val="ListBullet"/>
        <w:rPr>
          <w:rFonts w:eastAsia="Calibri"/>
          <w:w w:val="105"/>
          <w:lang w:val="en-US" w:eastAsia="en-US"/>
        </w:rPr>
      </w:pPr>
      <w:r w:rsidRPr="00E4449B">
        <w:rPr>
          <w:rFonts w:eastAsia="Calibri"/>
          <w:w w:val="105"/>
          <w:lang w:val="en-US" w:eastAsia="en-US"/>
        </w:rPr>
        <w:t>Social housing</w:t>
      </w:r>
      <w:r w:rsidR="004859D4" w:rsidRPr="00E4449B">
        <w:t xml:space="preserve"> </w:t>
      </w:r>
      <w:r w:rsidR="004859D4" w:rsidRPr="00E4449B">
        <w:rPr>
          <w:rFonts w:eastAsia="Calibri"/>
          <w:w w:val="105"/>
          <w:lang w:val="en-US" w:eastAsia="en-US"/>
        </w:rPr>
        <w:t>Indigenous Land Use Agreements template</w:t>
      </w:r>
      <w:r w:rsidRPr="00E4449B">
        <w:rPr>
          <w:rFonts w:eastAsia="Calibri"/>
          <w:w w:val="105"/>
          <w:lang w:val="en-US" w:eastAsia="en-US"/>
        </w:rPr>
        <w:t xml:space="preserve"> developed to assist Councils and</w:t>
      </w:r>
      <w:r w:rsidRPr="00E4449B">
        <w:rPr>
          <w:rFonts w:eastAsia="Calibri"/>
          <w:color w:val="FF0000"/>
          <w:w w:val="105"/>
          <w:lang w:val="en-US" w:eastAsia="en-US"/>
        </w:rPr>
        <w:t xml:space="preserve"> </w:t>
      </w:r>
      <w:r w:rsidR="00F77609" w:rsidRPr="00E4449B">
        <w:rPr>
          <w:rFonts w:eastAsia="Calibri"/>
          <w:w w:val="105"/>
          <w:lang w:val="en-US" w:eastAsia="en-US"/>
        </w:rPr>
        <w:t>Prescribed Body Corporates</w:t>
      </w:r>
      <w:r w:rsidRPr="00E4449B">
        <w:rPr>
          <w:rFonts w:eastAsia="Calibri"/>
          <w:w w:val="105"/>
          <w:lang w:val="en-US" w:eastAsia="en-US"/>
        </w:rPr>
        <w:t xml:space="preserve"> with addressing native title for the construction of social housing and associated infrastructure.</w:t>
      </w:r>
      <w:bookmarkEnd w:id="99"/>
    </w:p>
    <w:p w14:paraId="2708BBE6" w14:textId="130E0C94" w:rsidR="003C0DB9" w:rsidRPr="00A8341C" w:rsidRDefault="003C0DB9" w:rsidP="00A8341C">
      <w:pPr>
        <w:rPr>
          <w:sz w:val="32"/>
          <w:szCs w:val="32"/>
        </w:rPr>
      </w:pPr>
      <w:bookmarkStart w:id="100" w:name="_Toc73714431"/>
      <w:bookmarkStart w:id="101" w:name="_Toc78287396"/>
      <w:bookmarkStart w:id="102" w:name="_Toc78355803"/>
      <w:bookmarkStart w:id="103" w:name="_Toc81984372"/>
      <w:r w:rsidRPr="00A8341C">
        <w:rPr>
          <w:sz w:val="32"/>
          <w:szCs w:val="32"/>
        </w:rPr>
        <w:t>Future directions</w:t>
      </w:r>
      <w:bookmarkEnd w:id="100"/>
      <w:bookmarkEnd w:id="101"/>
      <w:bookmarkEnd w:id="102"/>
      <w:bookmarkEnd w:id="103"/>
    </w:p>
    <w:p w14:paraId="1D9B3B9C" w14:textId="5EB4EE0F" w:rsidR="003C0DB9" w:rsidRPr="006D4747" w:rsidRDefault="007D19A5" w:rsidP="006D4747">
      <w:pPr>
        <w:pStyle w:val="ListBullet"/>
        <w:numPr>
          <w:ilvl w:val="0"/>
          <w:numId w:val="0"/>
        </w:numPr>
        <w:ind w:left="360" w:hanging="360"/>
        <w:rPr>
          <w:b/>
          <w:bCs/>
        </w:rPr>
      </w:pPr>
      <w:r w:rsidRPr="006D4747">
        <w:rPr>
          <w:b/>
          <w:bCs/>
        </w:rPr>
        <w:t>I</w:t>
      </w:r>
      <w:r w:rsidR="003C0DB9" w:rsidRPr="006D4747">
        <w:rPr>
          <w:b/>
          <w:bCs/>
        </w:rPr>
        <w:t>ncrease engagement through co-design</w:t>
      </w:r>
      <w:r w:rsidR="00956006" w:rsidRPr="006D4747">
        <w:rPr>
          <w:b/>
          <w:bCs/>
        </w:rPr>
        <w:t xml:space="preserve"> by:</w:t>
      </w:r>
    </w:p>
    <w:p w14:paraId="674A834C" w14:textId="43B6E4FE" w:rsidR="003C0DB9" w:rsidRPr="00E4449B" w:rsidRDefault="00956006" w:rsidP="006D4747">
      <w:pPr>
        <w:pStyle w:val="ListBullet"/>
      </w:pPr>
      <w:r w:rsidRPr="00E4449B">
        <w:t>c</w:t>
      </w:r>
      <w:r w:rsidR="003C0DB9" w:rsidRPr="00E4449B">
        <w:t>ontinu</w:t>
      </w:r>
      <w:r w:rsidRPr="00E4449B">
        <w:t>ing</w:t>
      </w:r>
      <w:r w:rsidR="003C0DB9" w:rsidRPr="00E4449B">
        <w:t xml:space="preserve"> to work towards reframing the relationship between Aboriginal and Torres Strait Islander communities and the Queensland Government, through the Path to Treaty </w:t>
      </w:r>
    </w:p>
    <w:p w14:paraId="11782643" w14:textId="3C5C2EA3" w:rsidR="00AD1719" w:rsidRPr="00E4449B" w:rsidRDefault="00956006" w:rsidP="006D4747">
      <w:pPr>
        <w:pStyle w:val="ListBullet"/>
      </w:pPr>
      <w:r w:rsidRPr="00E4449B">
        <w:t>c</w:t>
      </w:r>
      <w:r w:rsidR="00AD1719" w:rsidRPr="00E4449B">
        <w:t>ontinu</w:t>
      </w:r>
      <w:r w:rsidRPr="00E4449B">
        <w:t>ing</w:t>
      </w:r>
      <w:r w:rsidR="00AD1719" w:rsidRPr="00E4449B">
        <w:t xml:space="preserve"> to implement the </w:t>
      </w:r>
      <w:r w:rsidR="00AD1719" w:rsidRPr="0083240B">
        <w:rPr>
          <w:i/>
          <w:iCs/>
        </w:rPr>
        <w:t>National Agreement of Closing the Gap</w:t>
      </w:r>
      <w:r w:rsidR="00AD1719" w:rsidRPr="00E4449B">
        <w:t xml:space="preserve"> through the Closing the Gap Partnership Committee, a partnership between the Queensland Government and the Queensland Aboriginal and Torres Strait Islander Coalition, a collection of Queensland’s peak organisations</w:t>
      </w:r>
    </w:p>
    <w:p w14:paraId="309BDA38" w14:textId="289466FC" w:rsidR="003C0DB9" w:rsidRPr="00E4449B" w:rsidRDefault="00956006" w:rsidP="006D4747">
      <w:pPr>
        <w:pStyle w:val="ListBullet"/>
      </w:pPr>
      <w:r w:rsidRPr="00E4449B">
        <w:t xml:space="preserve">partnering </w:t>
      </w:r>
      <w:r w:rsidR="003C0DB9" w:rsidRPr="00E4449B">
        <w:t xml:space="preserve">with Aboriginal peoples and Torres Strait Islander peoples to support thriving Aboriginal and Torres Strait Islander communities </w:t>
      </w:r>
    </w:p>
    <w:p w14:paraId="7D683F17" w14:textId="6DE36315" w:rsidR="00AD1719" w:rsidRPr="00E4449B" w:rsidRDefault="00956006" w:rsidP="006D4747">
      <w:pPr>
        <w:pStyle w:val="ListBullet"/>
      </w:pPr>
      <w:r w:rsidRPr="00E4449B">
        <w:t>working</w:t>
      </w:r>
      <w:r w:rsidR="00AD1719" w:rsidRPr="00E4449B">
        <w:t xml:space="preserve"> with Queensland Aboriginal and Torres Strait Islander communities to develop an Indigenous Voice model for Queensland that best meets the needs and aspirations of First Nations</w:t>
      </w:r>
      <w:r w:rsidR="00FC7DD4" w:rsidRPr="00E4449B">
        <w:t xml:space="preserve"> peoples</w:t>
      </w:r>
      <w:r w:rsidR="00AD1719" w:rsidRPr="00E4449B">
        <w:t xml:space="preserve">  </w:t>
      </w:r>
    </w:p>
    <w:p w14:paraId="660F677D" w14:textId="24196F57" w:rsidR="003C0DB9" w:rsidRPr="00E4449B" w:rsidRDefault="00956006" w:rsidP="006D4747">
      <w:pPr>
        <w:pStyle w:val="ListBullet"/>
      </w:pPr>
      <w:r w:rsidRPr="00E4449B">
        <w:t xml:space="preserve">supporting </w:t>
      </w:r>
      <w:r w:rsidR="003C0DB9" w:rsidRPr="00E4449B">
        <w:t xml:space="preserve">the relevant Ministers and the Queensland Aboriginal and Torres Strait Islander Child Protection Peak Limited to increase the number of </w:t>
      </w:r>
      <w:r w:rsidR="001B0E4A" w:rsidRPr="00E4449B">
        <w:t>community-controlled</w:t>
      </w:r>
      <w:r w:rsidR="003C0DB9" w:rsidRPr="00E4449B">
        <w:t xml:space="preserve"> organisations with delegated and cultural authority to make decisions </w:t>
      </w:r>
    </w:p>
    <w:p w14:paraId="78021BBF" w14:textId="3B48A637" w:rsidR="003C0DB9" w:rsidRPr="0083240B" w:rsidRDefault="00A21932" w:rsidP="006D4747">
      <w:pPr>
        <w:pStyle w:val="ListBullet"/>
        <w:rPr>
          <w:i/>
          <w:iCs/>
        </w:rPr>
      </w:pPr>
      <w:r w:rsidRPr="00E4449B">
        <w:t xml:space="preserve">supporting </w:t>
      </w:r>
      <w:r w:rsidR="003C0DB9" w:rsidRPr="00E4449B">
        <w:t xml:space="preserve">initiatives under the </w:t>
      </w:r>
      <w:r w:rsidR="003C0DB9" w:rsidRPr="0083240B">
        <w:rPr>
          <w:i/>
          <w:iCs/>
        </w:rPr>
        <w:t>Queensland Housing Strategy 2017– 2027</w:t>
      </w:r>
      <w:r w:rsidR="003C0DB9" w:rsidRPr="00E4449B">
        <w:t xml:space="preserve">, including the </w:t>
      </w:r>
      <w:r w:rsidR="003C0DB9" w:rsidRPr="0083240B">
        <w:rPr>
          <w:i/>
          <w:iCs/>
        </w:rPr>
        <w:t xml:space="preserve">Aboriginal and Torres Strait Islander Housing Action Plan 2019–2023 </w:t>
      </w:r>
    </w:p>
    <w:p w14:paraId="03EF5977" w14:textId="70E02F24" w:rsidR="003C0DB9" w:rsidRPr="00E4449B" w:rsidRDefault="00A21932" w:rsidP="006D4747">
      <w:pPr>
        <w:pStyle w:val="ListBullet"/>
      </w:pPr>
      <w:r w:rsidRPr="00E4449B">
        <w:t xml:space="preserve">implementing </w:t>
      </w:r>
      <w:r w:rsidR="003C0DB9" w:rsidRPr="00E4449B">
        <w:t xml:space="preserve">the refreshed Ministerial Government Champions Program to work with communities to improve life outcomes for Aboriginal peoples and Torres Strait Islander peoples </w:t>
      </w:r>
    </w:p>
    <w:p w14:paraId="1047CD13" w14:textId="6D901E0A" w:rsidR="003C0DB9" w:rsidRPr="00E4449B" w:rsidRDefault="00A21932" w:rsidP="006D4747">
      <w:pPr>
        <w:pStyle w:val="ListBullet"/>
      </w:pPr>
      <w:r w:rsidRPr="00E4449B">
        <w:lastRenderedPageBreak/>
        <w:t xml:space="preserve">representing </w:t>
      </w:r>
      <w:r w:rsidR="003C0DB9" w:rsidRPr="00E4449B">
        <w:t xml:space="preserve">Queensland on the National Federation Reform Council Taskforce on Indigenous Affairs, and the Joint Council on Closing the Gap </w:t>
      </w:r>
    </w:p>
    <w:p w14:paraId="2D931723" w14:textId="4E397D9B" w:rsidR="003C0DB9" w:rsidRPr="00E4449B" w:rsidRDefault="00A21932" w:rsidP="006D4747">
      <w:pPr>
        <w:pStyle w:val="ListBullet"/>
      </w:pPr>
      <w:r w:rsidRPr="00E4449B">
        <w:t xml:space="preserve">working </w:t>
      </w:r>
      <w:r w:rsidR="003C0DB9" w:rsidRPr="00E4449B">
        <w:t>with Queensland’s Welfare Reform communities to build on community achievements and build local Aboriginal and Torres Strait Islander authority and governance</w:t>
      </w:r>
    </w:p>
    <w:p w14:paraId="0E948FBC" w14:textId="1118DE28" w:rsidR="00C81C2A" w:rsidRPr="00E4449B" w:rsidRDefault="00C81C2A" w:rsidP="00E43202">
      <w:pPr>
        <w:pStyle w:val="ListBullet"/>
        <w:spacing w:after="240"/>
        <w:ind w:left="357" w:hanging="357"/>
        <w:contextualSpacing w:val="0"/>
      </w:pPr>
      <w:r w:rsidRPr="00E4449B">
        <w:t>work</w:t>
      </w:r>
      <w:r w:rsidR="0006674B">
        <w:t>ing</w:t>
      </w:r>
      <w:r w:rsidRPr="00E4449B">
        <w:t xml:space="preserve"> with Queensland’s Aboriginal and Torres Strait Islander communities to build local Aboriginal and Torres Strait Islander authority and governance and establish local decision</w:t>
      </w:r>
      <w:r w:rsidR="00FE5CD8" w:rsidRPr="00E4449B">
        <w:t>-</w:t>
      </w:r>
      <w:r w:rsidRPr="00E4449B">
        <w:t>making bodies through the Local Thriving Communities reform</w:t>
      </w:r>
      <w:r w:rsidR="0011648E" w:rsidRPr="00E4449B">
        <w:t>.</w:t>
      </w:r>
    </w:p>
    <w:p w14:paraId="7EEB6D42" w14:textId="2D15AAB1" w:rsidR="003C0DB9" w:rsidRPr="006D4747" w:rsidRDefault="003C0DB9" w:rsidP="006D4747">
      <w:pPr>
        <w:pStyle w:val="ListBullet"/>
        <w:numPr>
          <w:ilvl w:val="0"/>
          <w:numId w:val="0"/>
        </w:numPr>
        <w:ind w:left="360" w:hanging="360"/>
        <w:rPr>
          <w:rFonts w:eastAsia="Calibri"/>
          <w:b/>
          <w:bCs/>
        </w:rPr>
      </w:pPr>
      <w:r w:rsidRPr="006D4747">
        <w:rPr>
          <w:rFonts w:eastAsia="Calibri"/>
          <w:b/>
          <w:bCs/>
        </w:rPr>
        <w:t>Influence social and economic outcomes</w:t>
      </w:r>
      <w:r w:rsidR="00A21932" w:rsidRPr="006D4747">
        <w:rPr>
          <w:rFonts w:eastAsia="Calibri"/>
          <w:b/>
          <w:bCs/>
        </w:rPr>
        <w:t xml:space="preserve"> by:</w:t>
      </w:r>
    </w:p>
    <w:p w14:paraId="28CB6B1F" w14:textId="5593B628" w:rsidR="003C0DB9" w:rsidRPr="00E4449B" w:rsidRDefault="00A21932" w:rsidP="006D4747">
      <w:pPr>
        <w:pStyle w:val="ListBullet"/>
      </w:pPr>
      <w:r w:rsidRPr="00E4449B">
        <w:t>m</w:t>
      </w:r>
      <w:r w:rsidR="003C0DB9" w:rsidRPr="00E4449B">
        <w:t>aximis</w:t>
      </w:r>
      <w:r w:rsidRPr="00E4449B">
        <w:t>ing</w:t>
      </w:r>
      <w:r w:rsidR="003C0DB9" w:rsidRPr="00E4449B">
        <w:t xml:space="preserve"> employment and business opportunities for Aboriginal and Torres Strait Islander Queenslanders </w:t>
      </w:r>
    </w:p>
    <w:p w14:paraId="1ED95EB4" w14:textId="7793806B" w:rsidR="003C0DB9" w:rsidRPr="00E4449B" w:rsidRDefault="00A21932" w:rsidP="006D4747">
      <w:pPr>
        <w:pStyle w:val="ListBullet"/>
      </w:pPr>
      <w:r w:rsidRPr="00E4449B">
        <w:t>f</w:t>
      </w:r>
      <w:r w:rsidR="003C0DB9" w:rsidRPr="00E4449B">
        <w:t>acilitat</w:t>
      </w:r>
      <w:r w:rsidRPr="00E4449B">
        <w:t>ing</w:t>
      </w:r>
      <w:r w:rsidR="003C0DB9" w:rsidRPr="00E4449B">
        <w:t xml:space="preserve"> improved economic development and participation outcomes for Aboriginal peoples and Torres Strait Islander peoples</w:t>
      </w:r>
      <w:r w:rsidR="003341B7" w:rsidRPr="00E4449B">
        <w:t>, businesses and communities</w:t>
      </w:r>
      <w:r w:rsidR="003C0DB9" w:rsidRPr="00E4449B">
        <w:t xml:space="preserve"> by driving the whole-of-government Moving Ahead </w:t>
      </w:r>
      <w:r w:rsidR="003341B7" w:rsidRPr="00E4449B">
        <w:t xml:space="preserve">economic </w:t>
      </w:r>
      <w:r w:rsidR="003C0DB9" w:rsidRPr="00E4449B">
        <w:t>strategy</w:t>
      </w:r>
    </w:p>
    <w:p w14:paraId="1412DC16" w14:textId="0BE931D1" w:rsidR="003C0DB9" w:rsidRPr="00E4449B" w:rsidRDefault="00A21932" w:rsidP="006D4747">
      <w:pPr>
        <w:pStyle w:val="ListBullet"/>
      </w:pPr>
      <w:r w:rsidRPr="00E4449B">
        <w:t>e</w:t>
      </w:r>
      <w:r w:rsidR="003C0DB9" w:rsidRPr="00E4449B">
        <w:t>mpower</w:t>
      </w:r>
      <w:r w:rsidRPr="00E4449B">
        <w:t>ing</w:t>
      </w:r>
      <w:r w:rsidR="003C0DB9" w:rsidRPr="00E4449B">
        <w:t xml:space="preserve"> individuals, businesses and communities to achieve their economic aspirations through supporting the development of policies and programs to increase participation by Aboriginal and Torres Strait Islander Queenslanders in employment and business </w:t>
      </w:r>
    </w:p>
    <w:p w14:paraId="2AC80907" w14:textId="267DF9C5" w:rsidR="003341B7" w:rsidRPr="00E4449B" w:rsidRDefault="002A1D7A" w:rsidP="006D4747">
      <w:pPr>
        <w:pStyle w:val="ListBullet"/>
      </w:pPr>
      <w:r w:rsidRPr="00E4449B">
        <w:t>c</w:t>
      </w:r>
      <w:r w:rsidR="003341B7" w:rsidRPr="00E4449B">
        <w:t>ontinu</w:t>
      </w:r>
      <w:r w:rsidR="00A21932" w:rsidRPr="00E4449B">
        <w:t>ing to drive the i</w:t>
      </w:r>
      <w:r w:rsidR="003341B7" w:rsidRPr="00E4449B">
        <w:t>mplementation of the Queensland public sector workforce strategy</w:t>
      </w:r>
    </w:p>
    <w:p w14:paraId="3291F06A" w14:textId="366336F9" w:rsidR="003C0DB9" w:rsidRPr="00E4449B" w:rsidRDefault="002A1D7A" w:rsidP="006D4747">
      <w:pPr>
        <w:pStyle w:val="ListBullet"/>
      </w:pPr>
      <w:r w:rsidRPr="00E4449B">
        <w:t>c</w:t>
      </w:r>
      <w:r w:rsidR="003C0DB9" w:rsidRPr="00E4449B">
        <w:t>ontinu</w:t>
      </w:r>
      <w:r w:rsidR="00A21932" w:rsidRPr="00E4449B">
        <w:t>ing to drive</w:t>
      </w:r>
      <w:r w:rsidR="003C0DB9" w:rsidRPr="00E4449B">
        <w:t xml:space="preserve"> the whole-of-government implementation of the Queensland Indigenous (Aboriginal and Torres Strait Islander) Procurement Policy </w:t>
      </w:r>
    </w:p>
    <w:p w14:paraId="23C0E3BB" w14:textId="2A5108CB" w:rsidR="003C0DB9" w:rsidRPr="00E4449B" w:rsidRDefault="002A1D7A" w:rsidP="006D4747">
      <w:pPr>
        <w:pStyle w:val="ListBullet"/>
      </w:pPr>
      <w:r w:rsidRPr="00E4449B">
        <w:t>c</w:t>
      </w:r>
      <w:r w:rsidR="003C0DB9" w:rsidRPr="00E4449B">
        <w:t>ontinu</w:t>
      </w:r>
      <w:r w:rsidR="00A21932" w:rsidRPr="00E4449B">
        <w:t>ing</w:t>
      </w:r>
      <w:r w:rsidR="003C0DB9" w:rsidRPr="00E4449B">
        <w:t xml:space="preserve"> the development and implementation of infrastructure and strategic initiatives that support economic development and whole-of-government co-ordination of infrastructure works in remote and discrete communities </w:t>
      </w:r>
    </w:p>
    <w:p w14:paraId="39ED52E1" w14:textId="6808A309" w:rsidR="003C0DB9" w:rsidRPr="00E4449B" w:rsidRDefault="002A1D7A" w:rsidP="006D4747">
      <w:pPr>
        <w:pStyle w:val="ListBullet"/>
      </w:pPr>
      <w:r w:rsidRPr="00E4449B">
        <w:t>u</w:t>
      </w:r>
      <w:r w:rsidR="00A21932" w:rsidRPr="00E4449B">
        <w:t xml:space="preserve">ndertaking </w:t>
      </w:r>
      <w:r w:rsidR="003C0DB9" w:rsidRPr="00E4449B">
        <w:t xml:space="preserve">master planning in remote Aboriginal and Torres Strait Islander communities to prepare for future residential and industrial land use and economic development </w:t>
      </w:r>
    </w:p>
    <w:p w14:paraId="60914253" w14:textId="647E1B4A" w:rsidR="003C0DB9" w:rsidRPr="00E4449B" w:rsidRDefault="00A21932" w:rsidP="006D4747">
      <w:pPr>
        <w:pStyle w:val="ListBullet"/>
      </w:pPr>
      <w:r w:rsidRPr="00E4449B">
        <w:t>working with</w:t>
      </w:r>
      <w:r w:rsidR="003C0DB9" w:rsidRPr="00E4449B">
        <w:t xml:space="preserve"> Councils and Traditional Owners on negotiating Indigenous Land Use Agreements (ILUAs) to support economic development and home ownership, and provid</w:t>
      </w:r>
      <w:r w:rsidRPr="00E4449B">
        <w:t>ing</w:t>
      </w:r>
      <w:r w:rsidR="003C0DB9" w:rsidRPr="00E4449B">
        <w:t xml:space="preserve"> ILUA implementation support for local Councils, Trustees and Traditional Owners </w:t>
      </w:r>
    </w:p>
    <w:p w14:paraId="054C52ED" w14:textId="1B55525F" w:rsidR="003C0DB9" w:rsidRPr="00E4449B" w:rsidRDefault="00A21932" w:rsidP="006D4747">
      <w:pPr>
        <w:pStyle w:val="ListBullet"/>
      </w:pPr>
      <w:r w:rsidRPr="00E4449B">
        <w:t>assisting</w:t>
      </w:r>
      <w:r w:rsidR="003C0DB9" w:rsidRPr="00E4449B">
        <w:t xml:space="preserve"> Aboriginal and Torres Strait Islander Queenslanders to own their homes in remote and discrete communities, through </w:t>
      </w:r>
      <w:r w:rsidRPr="00E4449B">
        <w:t xml:space="preserve">the facilitation of </w:t>
      </w:r>
      <w:r w:rsidR="003C0DB9" w:rsidRPr="00E4449B">
        <w:t xml:space="preserve">99-year home ownership leases and </w:t>
      </w:r>
      <w:r w:rsidRPr="00E4449B">
        <w:t xml:space="preserve">the resolution of </w:t>
      </w:r>
      <w:r w:rsidR="003C0DB9" w:rsidRPr="00E4449B">
        <w:t xml:space="preserve">legacy issues </w:t>
      </w:r>
    </w:p>
    <w:p w14:paraId="5C161128" w14:textId="3D2ABC9D" w:rsidR="003C0DB9" w:rsidRPr="00E4449B" w:rsidRDefault="00A21932" w:rsidP="00E43202">
      <w:pPr>
        <w:pStyle w:val="ListBullet"/>
        <w:spacing w:after="240"/>
        <w:ind w:left="357" w:hanging="357"/>
        <w:contextualSpacing w:val="0"/>
      </w:pPr>
      <w:r w:rsidRPr="00E4449B">
        <w:t>providing</w:t>
      </w:r>
      <w:r w:rsidR="003C0DB9" w:rsidRPr="00E4449B">
        <w:t xml:space="preserve"> whole-of-government support to local, state and Commonwealth governments, and to land Trustees and Aboriginal and Torres Strait Islander communities, related to technical advice in land tenure-related actions to support home ownership, commercial leasing, government land divestments, Native Title compliance, and other infrastructure and land-related matters</w:t>
      </w:r>
      <w:r w:rsidR="0011648E" w:rsidRPr="00E4449B">
        <w:t>.</w:t>
      </w:r>
    </w:p>
    <w:p w14:paraId="559D1B2C" w14:textId="36F679C4" w:rsidR="003C0DB9" w:rsidRPr="006D4747" w:rsidRDefault="003C0DB9" w:rsidP="006D4747">
      <w:pPr>
        <w:pStyle w:val="ListBullet"/>
        <w:numPr>
          <w:ilvl w:val="0"/>
          <w:numId w:val="0"/>
        </w:numPr>
        <w:rPr>
          <w:rFonts w:eastAsia="Calibri"/>
          <w:b/>
          <w:bCs/>
        </w:rPr>
      </w:pPr>
      <w:r w:rsidRPr="006D4747">
        <w:rPr>
          <w:rFonts w:eastAsia="Calibri"/>
          <w:b/>
          <w:bCs/>
        </w:rPr>
        <w:t>Foster safe and connected communities</w:t>
      </w:r>
      <w:r w:rsidR="00A21932" w:rsidRPr="006D4747">
        <w:rPr>
          <w:rFonts w:eastAsia="Calibri"/>
          <w:b/>
          <w:bCs/>
        </w:rPr>
        <w:t xml:space="preserve"> by:</w:t>
      </w:r>
    </w:p>
    <w:p w14:paraId="320045A6" w14:textId="64544EFB" w:rsidR="003C0DB9" w:rsidRPr="00E4449B" w:rsidRDefault="00A21932" w:rsidP="006D4747">
      <w:pPr>
        <w:pStyle w:val="ListBullet"/>
      </w:pPr>
      <w:r w:rsidRPr="00E4449B">
        <w:t xml:space="preserve">continuing </w:t>
      </w:r>
      <w:r w:rsidR="003341B7" w:rsidRPr="00E4449B">
        <w:t xml:space="preserve">to support the implementation of operational requirements to enable Torres Strait Islander families to apply for legal recognition of Torres Strait Islander child-rearing practice </w:t>
      </w:r>
    </w:p>
    <w:p w14:paraId="4F7CB976" w14:textId="68708627" w:rsidR="003C0DB9" w:rsidRPr="0083240B" w:rsidRDefault="00A21932" w:rsidP="006D4747">
      <w:pPr>
        <w:pStyle w:val="ListBullet"/>
        <w:rPr>
          <w:i/>
          <w:iCs/>
        </w:rPr>
      </w:pPr>
      <w:bookmarkStart w:id="104" w:name="_Hlk78286009"/>
      <w:r w:rsidRPr="00E4449B">
        <w:t xml:space="preserve">supporting </w:t>
      </w:r>
      <w:r w:rsidR="003C0DB9" w:rsidRPr="00E4449B">
        <w:t xml:space="preserve">the implementation of the </w:t>
      </w:r>
      <w:r w:rsidR="003C0DB9" w:rsidRPr="0083240B">
        <w:rPr>
          <w:i/>
          <w:iCs/>
        </w:rPr>
        <w:t>Domestic and Family Violence Prevention Strategy 2016–2026</w:t>
      </w:r>
      <w:r w:rsidR="003C0DB9" w:rsidRPr="00E4449B">
        <w:t xml:space="preserve">, and the strategies within </w:t>
      </w:r>
      <w:r w:rsidR="003C0DB9" w:rsidRPr="0083240B">
        <w:rPr>
          <w:i/>
          <w:iCs/>
        </w:rPr>
        <w:t>Queensland’s Framework for Action — Reshaping our approach to Aboriginal and Torres Strait Islander domestic and family violence</w:t>
      </w:r>
      <w:r w:rsidR="003C0DB9" w:rsidRPr="00E4449B">
        <w:t xml:space="preserve">, and the </w:t>
      </w:r>
      <w:r w:rsidR="003C0DB9" w:rsidRPr="0083240B">
        <w:rPr>
          <w:i/>
          <w:iCs/>
        </w:rPr>
        <w:t xml:space="preserve">Queensland’s Plan to respond to domestic and family violence against people with disability </w:t>
      </w:r>
    </w:p>
    <w:bookmarkEnd w:id="104"/>
    <w:p w14:paraId="7EE3BAA1" w14:textId="05E940EA" w:rsidR="003C0DB9" w:rsidRPr="00E4449B" w:rsidRDefault="00A21932" w:rsidP="006D4747">
      <w:pPr>
        <w:pStyle w:val="ListBullet"/>
      </w:pPr>
      <w:r w:rsidRPr="00E4449B">
        <w:t xml:space="preserve">supporting </w:t>
      </w:r>
      <w:r w:rsidR="003C0DB9" w:rsidRPr="00E4449B">
        <w:t xml:space="preserve">key stakeholders in undertaking a culturally appropriate community conversation with Aboriginal and Torres Strait Islander children and young people about their interactions with the justice system </w:t>
      </w:r>
    </w:p>
    <w:p w14:paraId="017BBFBB" w14:textId="01570A80" w:rsidR="003C0DB9" w:rsidRPr="00E4449B" w:rsidRDefault="00A21932" w:rsidP="006D4747">
      <w:pPr>
        <w:pStyle w:val="ListBullet"/>
      </w:pPr>
      <w:r w:rsidRPr="00E4449B">
        <w:t xml:space="preserve">continuing </w:t>
      </w:r>
      <w:r w:rsidR="003C0DB9" w:rsidRPr="00E4449B">
        <w:t xml:space="preserve">to support Aboriginal and Torres Strait Islander communities to locally manage their Alcohol Management Plans, including implementing strategies tailored to the unique needs and aspirations of each community </w:t>
      </w:r>
    </w:p>
    <w:p w14:paraId="03772B8D" w14:textId="679F927C" w:rsidR="003C0DB9" w:rsidRPr="00E4449B" w:rsidRDefault="00E514A1" w:rsidP="006D4747">
      <w:pPr>
        <w:pStyle w:val="ListBullet"/>
      </w:pPr>
      <w:r w:rsidRPr="00E4449B">
        <w:t xml:space="preserve">supporting </w:t>
      </w:r>
      <w:r w:rsidR="003C0DB9" w:rsidRPr="00E4449B">
        <w:t xml:space="preserve">activities that promote reconciliation through the </w:t>
      </w:r>
      <w:r w:rsidR="003C0DB9" w:rsidRPr="00E4449B">
        <w:rPr>
          <w:i/>
        </w:rPr>
        <w:t>Queensland Government Reconciliation Action Plan 2018–2021</w:t>
      </w:r>
      <w:r w:rsidR="003C0DB9" w:rsidRPr="00E4449B">
        <w:t xml:space="preserve"> </w:t>
      </w:r>
    </w:p>
    <w:p w14:paraId="0DCE5FB2" w14:textId="13EA7413" w:rsidR="003C0DB9" w:rsidRPr="00E4449B" w:rsidRDefault="00E514A1" w:rsidP="006D4747">
      <w:pPr>
        <w:pStyle w:val="ListBullet"/>
      </w:pPr>
      <w:r w:rsidRPr="00E4449B">
        <w:t xml:space="preserve">finalising </w:t>
      </w:r>
      <w:r w:rsidR="003C0DB9" w:rsidRPr="00E4449B">
        <w:t xml:space="preserve">the review of the Cultural Heritage Acts </w:t>
      </w:r>
    </w:p>
    <w:p w14:paraId="682E28C5" w14:textId="29AC9F4F" w:rsidR="003C0DB9" w:rsidRPr="00E4449B" w:rsidRDefault="003C0DB9" w:rsidP="00717304">
      <w:pPr>
        <w:pStyle w:val="ListBullet"/>
      </w:pPr>
      <w:r w:rsidRPr="00E4449B">
        <w:t>support</w:t>
      </w:r>
      <w:r w:rsidR="000F7F6B">
        <w:t>ing</w:t>
      </w:r>
      <w:r w:rsidRPr="00E4449B">
        <w:t xml:space="preserve"> the implementation of the government’s plan for Action on Ice</w:t>
      </w:r>
      <w:r w:rsidR="000F7F6B">
        <w:t xml:space="preserve">; </w:t>
      </w:r>
      <w:r w:rsidR="00E514A1" w:rsidRPr="00E4449B">
        <w:t>supporting t</w:t>
      </w:r>
      <w:r w:rsidRPr="00E4449B">
        <w:t xml:space="preserve">he relevant Ministers in the development and finalisation of local health equity strategies; and overseeing the pilot of On Country programs </w:t>
      </w:r>
    </w:p>
    <w:p w14:paraId="6DC79654" w14:textId="7A37ED54" w:rsidR="0000516B" w:rsidRDefault="00E514A1" w:rsidP="0006674B">
      <w:pPr>
        <w:pStyle w:val="ListBullet"/>
      </w:pPr>
      <w:r w:rsidRPr="00E4449B">
        <w:lastRenderedPageBreak/>
        <w:t xml:space="preserve">continuing </w:t>
      </w:r>
      <w:r w:rsidR="003C0DB9" w:rsidRPr="00E4449B">
        <w:t>to provide community and personal history services</w:t>
      </w:r>
      <w:r w:rsidRPr="00E4449B">
        <w:t>,</w:t>
      </w:r>
      <w:r w:rsidR="003C0DB9" w:rsidRPr="00E4449B">
        <w:t xml:space="preserve"> ensuring recommendations relating to access to records of the Royal Commission into </w:t>
      </w:r>
      <w:r w:rsidR="003C0DB9" w:rsidRPr="00E4449B">
        <w:rPr>
          <w:i/>
        </w:rPr>
        <w:t xml:space="preserve">Aboriginal Deaths in Custody and Bringing Them Home </w:t>
      </w:r>
      <w:r w:rsidR="003C0DB9" w:rsidRPr="00E4449B">
        <w:t>reports, are met</w:t>
      </w:r>
      <w:r w:rsidRPr="00E4449B">
        <w:t>.</w:t>
      </w:r>
      <w:bookmarkStart w:id="105" w:name="_Toc43444790"/>
    </w:p>
    <w:p w14:paraId="5A790ADB" w14:textId="078EA785" w:rsidR="001E5A9A" w:rsidRDefault="001E5A9A">
      <w:pPr>
        <w:spacing w:after="0" w:line="240" w:lineRule="auto"/>
      </w:pPr>
      <w:r>
        <w:br w:type="page"/>
      </w:r>
      <w:bookmarkStart w:id="106" w:name="_GoBack"/>
      <w:bookmarkEnd w:id="106"/>
    </w:p>
    <w:bookmarkEnd w:id="105"/>
    <w:bookmarkEnd w:id="0"/>
    <w:sectPr w:rsidR="001E5A9A" w:rsidSect="00CF7FEF">
      <w:type w:val="continuous"/>
      <w:pgSz w:w="11910" w:h="16840"/>
      <w:pgMar w:top="720" w:right="720" w:bottom="720" w:left="720" w:header="720" w:footer="720" w:gutter="0"/>
      <w:cols w:space="721"/>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A9D62" w14:textId="77777777" w:rsidR="0027574F" w:rsidRDefault="0027574F" w:rsidP="00DB66C3">
      <w:r>
        <w:separator/>
      </w:r>
    </w:p>
    <w:p w14:paraId="66548327" w14:textId="77777777" w:rsidR="0027574F" w:rsidRDefault="0027574F" w:rsidP="00DB66C3"/>
    <w:p w14:paraId="5338651B" w14:textId="77777777" w:rsidR="0027574F" w:rsidRDefault="0027574F"/>
    <w:p w14:paraId="358B92E7" w14:textId="77777777" w:rsidR="0027574F" w:rsidRDefault="0027574F"/>
  </w:endnote>
  <w:endnote w:type="continuationSeparator" w:id="0">
    <w:p w14:paraId="08BFB4AE" w14:textId="77777777" w:rsidR="0027574F" w:rsidRDefault="0027574F" w:rsidP="00DB66C3">
      <w:r>
        <w:continuationSeparator/>
      </w:r>
    </w:p>
    <w:p w14:paraId="3D8332B4" w14:textId="77777777" w:rsidR="0027574F" w:rsidRDefault="0027574F" w:rsidP="00DB66C3"/>
    <w:p w14:paraId="6D3D05C5" w14:textId="77777777" w:rsidR="0027574F" w:rsidRDefault="0027574F"/>
    <w:p w14:paraId="5913435C" w14:textId="77777777" w:rsidR="0027574F" w:rsidRDefault="002757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etaPro-Norm">
    <w:altName w:val="Calibri"/>
    <w:panose1 w:val="00000000000000000000"/>
    <w:charset w:val="00"/>
    <w:family w:val="swiss"/>
    <w:notTrueType/>
    <w:pitch w:val="variable"/>
    <w:sig w:usb0="A00002FF" w:usb1="4000207B" w:usb2="00000000" w:usb3="00000000" w:csb0="0000009F" w:csb1="00000000"/>
  </w:font>
  <w:font w:name="MetaPro-Bold">
    <w:altName w:val="MetaPro-Bold"/>
    <w:panose1 w:val="00000000000000000000"/>
    <w:charset w:val="00"/>
    <w:family w:val="swiss"/>
    <w:notTrueType/>
    <w:pitch w:val="variable"/>
    <w:sig w:usb0="A00002FF" w:usb1="4000207B" w:usb2="00000000" w:usb3="00000000" w:csb0="0000009F" w:csb1="00000000"/>
  </w:font>
  <w:font w:name="MetaPro-Light">
    <w:altName w:val="Calibri"/>
    <w:panose1 w:val="00000000000000000000"/>
    <w:charset w:val="00"/>
    <w:family w:val="swiss"/>
    <w:notTrueType/>
    <w:pitch w:val="variable"/>
    <w:sig w:usb0="A00002FF" w:usb1="4000207B"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66A9C9" w14:textId="77777777" w:rsidR="0027574F" w:rsidRDefault="0027574F" w:rsidP="00DB66C3">
      <w:r>
        <w:separator/>
      </w:r>
    </w:p>
    <w:p w14:paraId="6D8C48F3" w14:textId="77777777" w:rsidR="0027574F" w:rsidRDefault="0027574F" w:rsidP="00DB66C3"/>
    <w:p w14:paraId="39D796AD" w14:textId="77777777" w:rsidR="0027574F" w:rsidRDefault="0027574F"/>
    <w:p w14:paraId="1EBC4331" w14:textId="77777777" w:rsidR="0027574F" w:rsidRDefault="0027574F"/>
  </w:footnote>
  <w:footnote w:type="continuationSeparator" w:id="0">
    <w:p w14:paraId="082C2540" w14:textId="77777777" w:rsidR="0027574F" w:rsidRDefault="0027574F" w:rsidP="00DB66C3">
      <w:r>
        <w:continuationSeparator/>
      </w:r>
    </w:p>
    <w:p w14:paraId="209DCEFC" w14:textId="77777777" w:rsidR="0027574F" w:rsidRDefault="0027574F" w:rsidP="00DB66C3"/>
    <w:p w14:paraId="611A5F01" w14:textId="77777777" w:rsidR="0027574F" w:rsidRDefault="0027574F"/>
    <w:p w14:paraId="4BBB91D0" w14:textId="77777777" w:rsidR="0027574F" w:rsidRDefault="0027574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5360B3E"/>
    <w:lvl w:ilvl="0">
      <w:start w:val="1"/>
      <w:numFmt w:val="decimal"/>
      <w:pStyle w:val="ListNumber"/>
      <w:lvlText w:val="%1."/>
      <w:lvlJc w:val="left"/>
      <w:pPr>
        <w:tabs>
          <w:tab w:val="num" w:pos="360"/>
        </w:tabs>
        <w:ind w:left="360" w:hanging="360"/>
      </w:pPr>
      <w:rPr>
        <w:color w:val="000000"/>
      </w:rPr>
    </w:lvl>
  </w:abstractNum>
  <w:abstractNum w:abstractNumId="1" w15:restartNumberingAfterBreak="0">
    <w:nsid w:val="FFFFFF89"/>
    <w:multiLevelType w:val="singleLevel"/>
    <w:tmpl w:val="1CB483EA"/>
    <w:lvl w:ilvl="0">
      <w:start w:val="1"/>
      <w:numFmt w:val="bullet"/>
      <w:pStyle w:val="ListBullet"/>
      <w:lvlText w:val=""/>
      <w:lvlJc w:val="left"/>
      <w:pPr>
        <w:tabs>
          <w:tab w:val="num" w:pos="360"/>
        </w:tabs>
        <w:ind w:left="360" w:hanging="360"/>
      </w:pPr>
      <w:rPr>
        <w:rFonts w:ascii="Symbol" w:hAnsi="Symbol" w:hint="default"/>
        <w:color w:val="000000"/>
      </w:rPr>
    </w:lvl>
  </w:abstractNum>
  <w:abstractNum w:abstractNumId="2" w15:restartNumberingAfterBreak="0">
    <w:nsid w:val="00E87976"/>
    <w:multiLevelType w:val="hybridMultilevel"/>
    <w:tmpl w:val="F4424F28"/>
    <w:lvl w:ilvl="0" w:tplc="787E1DE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1D453F5"/>
    <w:multiLevelType w:val="multilevel"/>
    <w:tmpl w:val="5D4A3E8A"/>
    <w:lvl w:ilvl="0">
      <w:start w:val="1"/>
      <w:numFmt w:val="bullet"/>
      <w:pStyle w:val="PortfolioBullet"/>
      <w:lvlText w:val=""/>
      <w:lvlJc w:val="left"/>
      <w:pPr>
        <w:tabs>
          <w:tab w:val="num" w:pos="567"/>
        </w:tabs>
        <w:ind w:left="567" w:hanging="567"/>
      </w:pPr>
      <w:rPr>
        <w:rFonts w:ascii="Symbol" w:hAnsi="Symbol" w:hint="default"/>
      </w:rPr>
    </w:lvl>
    <w:lvl w:ilvl="1">
      <w:start w:val="1"/>
      <w:numFmt w:val="bullet"/>
      <w:pStyle w:val="PortfolioBullet2"/>
      <w:lvlText w:val=""/>
      <w:lvlJc w:val="left"/>
      <w:pPr>
        <w:tabs>
          <w:tab w:val="num" w:pos="1134"/>
        </w:tabs>
        <w:ind w:left="1134" w:hanging="567"/>
      </w:pPr>
      <w:rPr>
        <w:rFonts w:ascii="Symbol" w:hAnsi="Symbol" w:hint="default"/>
      </w:rPr>
    </w:lvl>
    <w:lvl w:ilvl="2">
      <w:start w:val="1"/>
      <w:numFmt w:val="bullet"/>
      <w:pStyle w:val="PortfolioBullet3"/>
      <w:lvlText w:val=""/>
      <w:lvlJc w:val="left"/>
      <w:pPr>
        <w:tabs>
          <w:tab w:val="num" w:pos="1701"/>
        </w:tabs>
        <w:ind w:left="1701" w:hanging="567"/>
      </w:pPr>
      <w:rPr>
        <w:rFonts w:ascii="Wingdings" w:hAnsi="Wingdings" w:hint="default"/>
      </w:rPr>
    </w:lvl>
    <w:lvl w:ilvl="3">
      <w:start w:val="1"/>
      <w:numFmt w:val="bullet"/>
      <w:lvlText w:val=""/>
      <w:lvlJc w:val="left"/>
      <w:pPr>
        <w:tabs>
          <w:tab w:val="num" w:pos="2880"/>
        </w:tabs>
        <w:ind w:left="2880" w:hanging="72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1"/>
        </w:tabs>
        <w:ind w:left="4321" w:hanging="721"/>
      </w:pPr>
      <w:rPr>
        <w:rFonts w:ascii="Symbol" w:hAnsi="Symbol" w:hint="default"/>
      </w:rPr>
    </w:lvl>
    <w:lvl w:ilvl="6">
      <w:start w:val="1"/>
      <w:numFmt w:val="bullet"/>
      <w:lvlText w:val=""/>
      <w:lvlJc w:val="left"/>
      <w:pPr>
        <w:tabs>
          <w:tab w:val="num" w:pos="5041"/>
        </w:tabs>
        <w:ind w:left="5041" w:hanging="720"/>
      </w:pPr>
      <w:rPr>
        <w:rFonts w:ascii="Symbol" w:hAnsi="Symbol" w:hint="default"/>
      </w:rPr>
    </w:lvl>
    <w:lvl w:ilvl="7">
      <w:start w:val="1"/>
      <w:numFmt w:val="bullet"/>
      <w:lvlText w:val=""/>
      <w:lvlJc w:val="left"/>
      <w:pPr>
        <w:tabs>
          <w:tab w:val="num" w:pos="5761"/>
        </w:tabs>
        <w:ind w:left="5761" w:hanging="720"/>
      </w:pPr>
      <w:rPr>
        <w:rFonts w:ascii="Symbol" w:hAnsi="Symbol" w:hint="default"/>
      </w:rPr>
    </w:lvl>
    <w:lvl w:ilvl="8">
      <w:start w:val="1"/>
      <w:numFmt w:val="bullet"/>
      <w:lvlText w:val=""/>
      <w:lvlJc w:val="left"/>
      <w:pPr>
        <w:tabs>
          <w:tab w:val="num" w:pos="6481"/>
        </w:tabs>
        <w:ind w:left="6481" w:hanging="720"/>
      </w:pPr>
      <w:rPr>
        <w:rFonts w:ascii="Symbol" w:hAnsi="Symbol" w:hint="default"/>
      </w:rPr>
    </w:lvl>
  </w:abstractNum>
  <w:abstractNum w:abstractNumId="4" w15:restartNumberingAfterBreak="0">
    <w:nsid w:val="0A5C21FF"/>
    <w:multiLevelType w:val="hybridMultilevel"/>
    <w:tmpl w:val="C6D8EA4A"/>
    <w:lvl w:ilvl="0" w:tplc="1108D8AE">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6270A0"/>
    <w:multiLevelType w:val="hybridMultilevel"/>
    <w:tmpl w:val="E3E6ABC2"/>
    <w:lvl w:ilvl="0" w:tplc="0C090001">
      <w:start w:val="1"/>
      <w:numFmt w:val="bullet"/>
      <w:lvlText w:val=""/>
      <w:lvlJc w:val="left"/>
      <w:pPr>
        <w:ind w:left="869" w:hanging="360"/>
      </w:pPr>
      <w:rPr>
        <w:rFonts w:ascii="Symbol" w:hAnsi="Symbol" w:hint="default"/>
        <w:color w:val="000000"/>
      </w:rPr>
    </w:lvl>
    <w:lvl w:ilvl="1" w:tplc="0C090003" w:tentative="1">
      <w:start w:val="1"/>
      <w:numFmt w:val="bullet"/>
      <w:lvlText w:val="o"/>
      <w:lvlJc w:val="left"/>
      <w:pPr>
        <w:ind w:left="1589" w:hanging="360"/>
      </w:pPr>
      <w:rPr>
        <w:rFonts w:ascii="Courier New" w:hAnsi="Courier New" w:cs="Courier New" w:hint="default"/>
      </w:rPr>
    </w:lvl>
    <w:lvl w:ilvl="2" w:tplc="0C090005" w:tentative="1">
      <w:start w:val="1"/>
      <w:numFmt w:val="bullet"/>
      <w:lvlText w:val=""/>
      <w:lvlJc w:val="left"/>
      <w:pPr>
        <w:ind w:left="2309" w:hanging="360"/>
      </w:pPr>
      <w:rPr>
        <w:rFonts w:ascii="Wingdings" w:hAnsi="Wingdings" w:hint="default"/>
      </w:rPr>
    </w:lvl>
    <w:lvl w:ilvl="3" w:tplc="0C090001" w:tentative="1">
      <w:start w:val="1"/>
      <w:numFmt w:val="bullet"/>
      <w:lvlText w:val=""/>
      <w:lvlJc w:val="left"/>
      <w:pPr>
        <w:ind w:left="3029" w:hanging="360"/>
      </w:pPr>
      <w:rPr>
        <w:rFonts w:ascii="Symbol" w:hAnsi="Symbol" w:hint="default"/>
      </w:rPr>
    </w:lvl>
    <w:lvl w:ilvl="4" w:tplc="0C090003" w:tentative="1">
      <w:start w:val="1"/>
      <w:numFmt w:val="bullet"/>
      <w:lvlText w:val="o"/>
      <w:lvlJc w:val="left"/>
      <w:pPr>
        <w:ind w:left="3749" w:hanging="360"/>
      </w:pPr>
      <w:rPr>
        <w:rFonts w:ascii="Courier New" w:hAnsi="Courier New" w:cs="Courier New" w:hint="default"/>
      </w:rPr>
    </w:lvl>
    <w:lvl w:ilvl="5" w:tplc="0C090005" w:tentative="1">
      <w:start w:val="1"/>
      <w:numFmt w:val="bullet"/>
      <w:lvlText w:val=""/>
      <w:lvlJc w:val="left"/>
      <w:pPr>
        <w:ind w:left="4469" w:hanging="360"/>
      </w:pPr>
      <w:rPr>
        <w:rFonts w:ascii="Wingdings" w:hAnsi="Wingdings" w:hint="default"/>
      </w:rPr>
    </w:lvl>
    <w:lvl w:ilvl="6" w:tplc="0C090001" w:tentative="1">
      <w:start w:val="1"/>
      <w:numFmt w:val="bullet"/>
      <w:lvlText w:val=""/>
      <w:lvlJc w:val="left"/>
      <w:pPr>
        <w:ind w:left="5189" w:hanging="360"/>
      </w:pPr>
      <w:rPr>
        <w:rFonts w:ascii="Symbol" w:hAnsi="Symbol" w:hint="default"/>
      </w:rPr>
    </w:lvl>
    <w:lvl w:ilvl="7" w:tplc="0C090003" w:tentative="1">
      <w:start w:val="1"/>
      <w:numFmt w:val="bullet"/>
      <w:lvlText w:val="o"/>
      <w:lvlJc w:val="left"/>
      <w:pPr>
        <w:ind w:left="5909" w:hanging="360"/>
      </w:pPr>
      <w:rPr>
        <w:rFonts w:ascii="Courier New" w:hAnsi="Courier New" w:cs="Courier New" w:hint="default"/>
      </w:rPr>
    </w:lvl>
    <w:lvl w:ilvl="8" w:tplc="0C090005" w:tentative="1">
      <w:start w:val="1"/>
      <w:numFmt w:val="bullet"/>
      <w:lvlText w:val=""/>
      <w:lvlJc w:val="left"/>
      <w:pPr>
        <w:ind w:left="6629" w:hanging="360"/>
      </w:pPr>
      <w:rPr>
        <w:rFonts w:ascii="Wingdings" w:hAnsi="Wingdings" w:hint="default"/>
      </w:rPr>
    </w:lvl>
  </w:abstractNum>
  <w:abstractNum w:abstractNumId="6" w15:restartNumberingAfterBreak="0">
    <w:nsid w:val="0E300490"/>
    <w:multiLevelType w:val="hybridMultilevel"/>
    <w:tmpl w:val="69CC1104"/>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0E323C30"/>
    <w:multiLevelType w:val="multilevel"/>
    <w:tmpl w:val="89784A72"/>
    <w:lvl w:ilvl="0">
      <w:numFmt w:val="bullet"/>
      <w:lvlText w:val="·"/>
      <w:lvlJc w:val="left"/>
      <w:pPr>
        <w:tabs>
          <w:tab w:val="left" w:pos="360"/>
        </w:tabs>
      </w:pPr>
      <w:rPr>
        <w:rFonts w:ascii="Symbol" w:eastAsia="Symbol" w:hAnsi="Symbo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AC1A8C"/>
    <w:multiLevelType w:val="hybridMultilevel"/>
    <w:tmpl w:val="F3383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DA7E7A"/>
    <w:multiLevelType w:val="multilevel"/>
    <w:tmpl w:val="E8A6D8A8"/>
    <w:lvl w:ilvl="0">
      <w:numFmt w:val="bullet"/>
      <w:lvlText w:val="·"/>
      <w:lvlJc w:val="left"/>
      <w:pPr>
        <w:tabs>
          <w:tab w:val="left" w:pos="648"/>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F44509A"/>
    <w:multiLevelType w:val="hybridMultilevel"/>
    <w:tmpl w:val="DADCA8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03C0C85"/>
    <w:multiLevelType w:val="hybridMultilevel"/>
    <w:tmpl w:val="00122216"/>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117271F3"/>
    <w:multiLevelType w:val="multilevel"/>
    <w:tmpl w:val="77C079E8"/>
    <w:lvl w:ilvl="0">
      <w:numFmt w:val="bullet"/>
      <w:lvlText w:val="-"/>
      <w:lvlJc w:val="left"/>
      <w:pPr>
        <w:tabs>
          <w:tab w:val="left" w:pos="502"/>
        </w:tabs>
      </w:pPr>
      <w:rPr>
        <w:rFonts w:ascii="Symbol" w:eastAsia="Symbol" w:hAnsi="Symbol"/>
        <w:b/>
        <w:color w:val="000000"/>
        <w:spacing w:val="-5"/>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42F009A"/>
    <w:multiLevelType w:val="hybridMultilevel"/>
    <w:tmpl w:val="644881D8"/>
    <w:lvl w:ilvl="0" w:tplc="A19210D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A1C4E1A"/>
    <w:multiLevelType w:val="hybridMultilevel"/>
    <w:tmpl w:val="EADE0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AD22C02"/>
    <w:multiLevelType w:val="hybridMultilevel"/>
    <w:tmpl w:val="FB023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C7B61C8"/>
    <w:multiLevelType w:val="hybridMultilevel"/>
    <w:tmpl w:val="18B41F96"/>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232737F0"/>
    <w:multiLevelType w:val="multilevel"/>
    <w:tmpl w:val="539021FC"/>
    <w:lvl w:ilvl="0">
      <w:start w:val="1"/>
      <w:numFmt w:val="lowerLetter"/>
      <w:lvlText w:val="(%1)"/>
      <w:lvlJc w:val="left"/>
      <w:pPr>
        <w:tabs>
          <w:tab w:val="left" w:pos="792"/>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67920E7"/>
    <w:multiLevelType w:val="hybridMultilevel"/>
    <w:tmpl w:val="C87832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7426B0"/>
    <w:multiLevelType w:val="hybridMultilevel"/>
    <w:tmpl w:val="D5769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EE5B7E"/>
    <w:multiLevelType w:val="multilevel"/>
    <w:tmpl w:val="67721454"/>
    <w:lvl w:ilvl="0">
      <w:numFmt w:val="bullet"/>
      <w:lvlText w:val="·"/>
      <w:lvlJc w:val="left"/>
      <w:pPr>
        <w:tabs>
          <w:tab w:val="left" w:pos="648"/>
        </w:tabs>
      </w:pPr>
      <w:rPr>
        <w:rFonts w:ascii="Symbol" w:eastAsia="Symbol" w:hAnsi="Symbo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EBB6826"/>
    <w:multiLevelType w:val="multilevel"/>
    <w:tmpl w:val="70EEE5E2"/>
    <w:lvl w:ilvl="0">
      <w:numFmt w:val="bullet"/>
      <w:lvlText w:val="·"/>
      <w:lvlJc w:val="left"/>
      <w:pPr>
        <w:tabs>
          <w:tab w:val="left" w:pos="648"/>
        </w:tabs>
      </w:pPr>
      <w:rPr>
        <w:rFonts w:ascii="Symbol" w:eastAsia="Symbol" w:hAnsi="Symbo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0D05207"/>
    <w:multiLevelType w:val="hybridMultilevel"/>
    <w:tmpl w:val="58203236"/>
    <w:lvl w:ilvl="0" w:tplc="0C090001">
      <w:start w:val="1"/>
      <w:numFmt w:val="bullet"/>
      <w:lvlText w:val=""/>
      <w:lvlJc w:val="left"/>
      <w:pPr>
        <w:ind w:left="869" w:hanging="360"/>
      </w:pPr>
      <w:rPr>
        <w:rFonts w:ascii="Symbol" w:hAnsi="Symbol" w:hint="default"/>
        <w:color w:val="000000"/>
      </w:rPr>
    </w:lvl>
    <w:lvl w:ilvl="1" w:tplc="0C090003" w:tentative="1">
      <w:start w:val="1"/>
      <w:numFmt w:val="bullet"/>
      <w:lvlText w:val="o"/>
      <w:lvlJc w:val="left"/>
      <w:pPr>
        <w:ind w:left="1589" w:hanging="360"/>
      </w:pPr>
      <w:rPr>
        <w:rFonts w:ascii="Courier New" w:hAnsi="Courier New" w:cs="Courier New" w:hint="default"/>
      </w:rPr>
    </w:lvl>
    <w:lvl w:ilvl="2" w:tplc="0C090005" w:tentative="1">
      <w:start w:val="1"/>
      <w:numFmt w:val="bullet"/>
      <w:lvlText w:val=""/>
      <w:lvlJc w:val="left"/>
      <w:pPr>
        <w:ind w:left="2309" w:hanging="360"/>
      </w:pPr>
      <w:rPr>
        <w:rFonts w:ascii="Wingdings" w:hAnsi="Wingdings" w:hint="default"/>
      </w:rPr>
    </w:lvl>
    <w:lvl w:ilvl="3" w:tplc="0C090001" w:tentative="1">
      <w:start w:val="1"/>
      <w:numFmt w:val="bullet"/>
      <w:lvlText w:val=""/>
      <w:lvlJc w:val="left"/>
      <w:pPr>
        <w:ind w:left="3029" w:hanging="360"/>
      </w:pPr>
      <w:rPr>
        <w:rFonts w:ascii="Symbol" w:hAnsi="Symbol" w:hint="default"/>
      </w:rPr>
    </w:lvl>
    <w:lvl w:ilvl="4" w:tplc="0C090003" w:tentative="1">
      <w:start w:val="1"/>
      <w:numFmt w:val="bullet"/>
      <w:lvlText w:val="o"/>
      <w:lvlJc w:val="left"/>
      <w:pPr>
        <w:ind w:left="3749" w:hanging="360"/>
      </w:pPr>
      <w:rPr>
        <w:rFonts w:ascii="Courier New" w:hAnsi="Courier New" w:cs="Courier New" w:hint="default"/>
      </w:rPr>
    </w:lvl>
    <w:lvl w:ilvl="5" w:tplc="0C090005" w:tentative="1">
      <w:start w:val="1"/>
      <w:numFmt w:val="bullet"/>
      <w:lvlText w:val=""/>
      <w:lvlJc w:val="left"/>
      <w:pPr>
        <w:ind w:left="4469" w:hanging="360"/>
      </w:pPr>
      <w:rPr>
        <w:rFonts w:ascii="Wingdings" w:hAnsi="Wingdings" w:hint="default"/>
      </w:rPr>
    </w:lvl>
    <w:lvl w:ilvl="6" w:tplc="0C090001" w:tentative="1">
      <w:start w:val="1"/>
      <w:numFmt w:val="bullet"/>
      <w:lvlText w:val=""/>
      <w:lvlJc w:val="left"/>
      <w:pPr>
        <w:ind w:left="5189" w:hanging="360"/>
      </w:pPr>
      <w:rPr>
        <w:rFonts w:ascii="Symbol" w:hAnsi="Symbol" w:hint="default"/>
      </w:rPr>
    </w:lvl>
    <w:lvl w:ilvl="7" w:tplc="0C090003" w:tentative="1">
      <w:start w:val="1"/>
      <w:numFmt w:val="bullet"/>
      <w:lvlText w:val="o"/>
      <w:lvlJc w:val="left"/>
      <w:pPr>
        <w:ind w:left="5909" w:hanging="360"/>
      </w:pPr>
      <w:rPr>
        <w:rFonts w:ascii="Courier New" w:hAnsi="Courier New" w:cs="Courier New" w:hint="default"/>
      </w:rPr>
    </w:lvl>
    <w:lvl w:ilvl="8" w:tplc="0C090005" w:tentative="1">
      <w:start w:val="1"/>
      <w:numFmt w:val="bullet"/>
      <w:lvlText w:val=""/>
      <w:lvlJc w:val="left"/>
      <w:pPr>
        <w:ind w:left="6629" w:hanging="360"/>
      </w:pPr>
      <w:rPr>
        <w:rFonts w:ascii="Wingdings" w:hAnsi="Wingdings" w:hint="default"/>
      </w:rPr>
    </w:lvl>
  </w:abstractNum>
  <w:abstractNum w:abstractNumId="23" w15:restartNumberingAfterBreak="0">
    <w:nsid w:val="3B6B2B2F"/>
    <w:multiLevelType w:val="multilevel"/>
    <w:tmpl w:val="CFB28A44"/>
    <w:lvl w:ilvl="0">
      <w:start w:val="1"/>
      <w:numFmt w:val="lowerLetter"/>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C584CFF"/>
    <w:multiLevelType w:val="hybridMultilevel"/>
    <w:tmpl w:val="3F4EFE1A"/>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3DDB3BA7"/>
    <w:multiLevelType w:val="hybridMultilevel"/>
    <w:tmpl w:val="808E4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E015A6B"/>
    <w:multiLevelType w:val="hybridMultilevel"/>
    <w:tmpl w:val="FBD26B0A"/>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3F7D5ACE"/>
    <w:multiLevelType w:val="multilevel"/>
    <w:tmpl w:val="949A6FBC"/>
    <w:lvl w:ilvl="0">
      <w:numFmt w:val="bullet"/>
      <w:lvlText w:val="·"/>
      <w:lvlJc w:val="left"/>
      <w:pPr>
        <w:tabs>
          <w:tab w:val="left" w:pos="648"/>
        </w:tabs>
      </w:pPr>
      <w:rPr>
        <w:rFonts w:ascii="Symbol" w:eastAsia="Symbol" w:hAnsi="Symbo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0937DD0"/>
    <w:multiLevelType w:val="hybridMultilevel"/>
    <w:tmpl w:val="D6CCE07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6AD2F1D"/>
    <w:multiLevelType w:val="hybridMultilevel"/>
    <w:tmpl w:val="34342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011741C"/>
    <w:multiLevelType w:val="multilevel"/>
    <w:tmpl w:val="2E34E0D8"/>
    <w:lvl w:ilvl="0">
      <w:numFmt w:val="bullet"/>
      <w:lvlText w:val="·"/>
      <w:lvlJc w:val="left"/>
      <w:pPr>
        <w:tabs>
          <w:tab w:val="left" w:pos="720"/>
        </w:tabs>
      </w:pPr>
      <w:rPr>
        <w:rFonts w:ascii="Symbol" w:eastAsia="Symbol" w:hAnsi="Symbo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45F78F8"/>
    <w:multiLevelType w:val="multilevel"/>
    <w:tmpl w:val="6504C148"/>
    <w:styleLink w:val="Headings"/>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2.%3.1"/>
      <w:lvlJc w:val="left"/>
      <w:pPr>
        <w:ind w:left="454" w:hanging="454"/>
      </w:pPr>
      <w:rPr>
        <w:rFonts w:hint="default"/>
      </w:rPr>
    </w:lvl>
    <w:lvl w:ilvl="3">
      <w:start w:val="1"/>
      <w:numFmt w:val="none"/>
      <w:suff w:val="nothing"/>
      <w:lvlText w:val=""/>
      <w:lvlJc w:val="left"/>
      <w:pPr>
        <w:ind w:left="0" w:firstLine="0"/>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32" w15:restartNumberingAfterBreak="0">
    <w:nsid w:val="58AE4415"/>
    <w:multiLevelType w:val="hybridMultilevel"/>
    <w:tmpl w:val="318AC75A"/>
    <w:lvl w:ilvl="0" w:tplc="0C090005">
      <w:start w:val="1"/>
      <w:numFmt w:val="bullet"/>
      <w:lvlText w:val=""/>
      <w:lvlJc w:val="left"/>
      <w:pPr>
        <w:tabs>
          <w:tab w:val="num" w:pos="540"/>
        </w:tabs>
        <w:ind w:left="540" w:hanging="360"/>
      </w:pPr>
      <w:rPr>
        <w:rFonts w:ascii="Wingdings" w:hAnsi="Wingdings" w:hint="default"/>
      </w:rPr>
    </w:lvl>
    <w:lvl w:ilvl="1" w:tplc="0C090001">
      <w:start w:val="1"/>
      <w:numFmt w:val="bullet"/>
      <w:lvlText w:val=""/>
      <w:lvlJc w:val="left"/>
      <w:pPr>
        <w:tabs>
          <w:tab w:val="num" w:pos="1260"/>
        </w:tabs>
        <w:ind w:left="1260" w:hanging="360"/>
      </w:pPr>
      <w:rPr>
        <w:rFonts w:ascii="Symbol" w:hAnsi="Symbol" w:hint="default"/>
      </w:rPr>
    </w:lvl>
    <w:lvl w:ilvl="2" w:tplc="0C090003">
      <w:start w:val="1"/>
      <w:numFmt w:val="bullet"/>
      <w:lvlText w:val="o"/>
      <w:lvlJc w:val="left"/>
      <w:pPr>
        <w:tabs>
          <w:tab w:val="num" w:pos="1980"/>
        </w:tabs>
        <w:ind w:left="1980" w:hanging="360"/>
      </w:pPr>
      <w:rPr>
        <w:rFonts w:ascii="Courier New" w:hAnsi="Courier New" w:cs="Courier New" w:hint="default"/>
      </w:rPr>
    </w:lvl>
    <w:lvl w:ilvl="3" w:tplc="5D08792E">
      <w:start w:val="1"/>
      <w:numFmt w:val="bullet"/>
      <w:pStyle w:val="secondarybullet"/>
      <w:lvlText w:val="-"/>
      <w:lvlJc w:val="left"/>
      <w:pPr>
        <w:tabs>
          <w:tab w:val="num" w:pos="2700"/>
        </w:tabs>
        <w:ind w:left="2700" w:hanging="360"/>
      </w:pPr>
      <w:rPr>
        <w:rFonts w:ascii="Courier New" w:hAnsi="Courier New" w:cs="Times New Roman" w:hint="default"/>
        <w:color w:val="auto"/>
      </w:rPr>
    </w:lvl>
    <w:lvl w:ilvl="4" w:tplc="0C090003">
      <w:start w:val="1"/>
      <w:numFmt w:val="bullet"/>
      <w:lvlText w:val="o"/>
      <w:lvlJc w:val="left"/>
      <w:pPr>
        <w:tabs>
          <w:tab w:val="num" w:pos="3420"/>
        </w:tabs>
        <w:ind w:left="3420" w:hanging="360"/>
      </w:pPr>
      <w:rPr>
        <w:rFonts w:ascii="Courier New" w:hAnsi="Courier New" w:cs="Courier New" w:hint="default"/>
      </w:rPr>
    </w:lvl>
    <w:lvl w:ilvl="5" w:tplc="0C090005">
      <w:start w:val="1"/>
      <w:numFmt w:val="bullet"/>
      <w:lvlText w:val=""/>
      <w:lvlJc w:val="left"/>
      <w:pPr>
        <w:tabs>
          <w:tab w:val="num" w:pos="4140"/>
        </w:tabs>
        <w:ind w:left="4140" w:hanging="360"/>
      </w:pPr>
      <w:rPr>
        <w:rFonts w:ascii="Wingdings" w:hAnsi="Wingdings" w:hint="default"/>
      </w:rPr>
    </w:lvl>
    <w:lvl w:ilvl="6" w:tplc="0C090001">
      <w:start w:val="1"/>
      <w:numFmt w:val="bullet"/>
      <w:lvlText w:val=""/>
      <w:lvlJc w:val="left"/>
      <w:pPr>
        <w:tabs>
          <w:tab w:val="num" w:pos="4860"/>
        </w:tabs>
        <w:ind w:left="4860" w:hanging="360"/>
      </w:pPr>
      <w:rPr>
        <w:rFonts w:ascii="Symbol" w:hAnsi="Symbol" w:hint="default"/>
      </w:rPr>
    </w:lvl>
    <w:lvl w:ilvl="7" w:tplc="0C090003">
      <w:start w:val="1"/>
      <w:numFmt w:val="bullet"/>
      <w:lvlText w:val="o"/>
      <w:lvlJc w:val="left"/>
      <w:pPr>
        <w:tabs>
          <w:tab w:val="num" w:pos="5580"/>
        </w:tabs>
        <w:ind w:left="5580" w:hanging="360"/>
      </w:pPr>
      <w:rPr>
        <w:rFonts w:ascii="Courier New" w:hAnsi="Courier New" w:cs="Courier New" w:hint="default"/>
      </w:rPr>
    </w:lvl>
    <w:lvl w:ilvl="8" w:tplc="0C090005">
      <w:start w:val="1"/>
      <w:numFmt w:val="bullet"/>
      <w:lvlText w:val=""/>
      <w:lvlJc w:val="left"/>
      <w:pPr>
        <w:tabs>
          <w:tab w:val="num" w:pos="6300"/>
        </w:tabs>
        <w:ind w:left="6300" w:hanging="360"/>
      </w:pPr>
      <w:rPr>
        <w:rFonts w:ascii="Wingdings" w:hAnsi="Wingdings" w:hint="default"/>
      </w:rPr>
    </w:lvl>
  </w:abstractNum>
  <w:abstractNum w:abstractNumId="33" w15:restartNumberingAfterBreak="0">
    <w:nsid w:val="5EF64EE7"/>
    <w:multiLevelType w:val="hybridMultilevel"/>
    <w:tmpl w:val="678CE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4345BB"/>
    <w:multiLevelType w:val="hybridMultilevel"/>
    <w:tmpl w:val="F50423B4"/>
    <w:lvl w:ilvl="0" w:tplc="010EF8B2">
      <w:start w:val="1"/>
      <w:numFmt w:val="bullet"/>
      <w:pStyle w:val="Tablebullet"/>
      <w:lvlText w:val=""/>
      <w:lvlJc w:val="left"/>
      <w:pPr>
        <w:ind w:left="720" w:hanging="360"/>
      </w:pPr>
      <w:rPr>
        <w:rFonts w:ascii="Symbol" w:hAnsi="Symbol" w:hint="default"/>
        <w:color w:val="7F7F7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2C91463"/>
    <w:multiLevelType w:val="hybridMultilevel"/>
    <w:tmpl w:val="4ED84ECC"/>
    <w:lvl w:ilvl="0" w:tplc="98602FBE">
      <w:start w:val="1"/>
      <w:numFmt w:val="bullet"/>
      <w:pStyle w:val="Bullets"/>
      <w:lvlText w:val=""/>
      <w:lvlJc w:val="left"/>
      <w:pPr>
        <w:ind w:left="1495"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5E1241D"/>
    <w:multiLevelType w:val="hybridMultilevel"/>
    <w:tmpl w:val="6DF48F42"/>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668077B2"/>
    <w:multiLevelType w:val="multilevel"/>
    <w:tmpl w:val="986E6414"/>
    <w:lvl w:ilvl="0">
      <w:start w:val="1"/>
      <w:numFmt w:val="lowerLetter"/>
      <w:lvlText w:val="%1)"/>
      <w:lvlJc w:val="left"/>
      <w:pPr>
        <w:tabs>
          <w:tab w:val="left" w:pos="648"/>
        </w:tabs>
      </w:pPr>
      <w:rPr>
        <w:rFonts w:ascii="Arial" w:eastAsia="Arial" w:hAnsi="Arial"/>
        <w:color w:val="000000"/>
        <w:spacing w:val="3"/>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9523957"/>
    <w:multiLevelType w:val="hybridMultilevel"/>
    <w:tmpl w:val="FF945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FBD75CC"/>
    <w:multiLevelType w:val="hybridMultilevel"/>
    <w:tmpl w:val="B720D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8F066EB"/>
    <w:multiLevelType w:val="multilevel"/>
    <w:tmpl w:val="31C0F5E6"/>
    <w:lvl w:ilvl="0">
      <w:numFmt w:val="bullet"/>
      <w:lvlText w:val="·"/>
      <w:lvlJc w:val="left"/>
      <w:pPr>
        <w:tabs>
          <w:tab w:val="left" w:pos="216"/>
        </w:tabs>
      </w:pPr>
      <w:rPr>
        <w:rFonts w:ascii="Symbol" w:eastAsia="Symbol" w:hAnsi="Symbol"/>
        <w:b/>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B1066D9"/>
    <w:multiLevelType w:val="hybridMultilevel"/>
    <w:tmpl w:val="9C48F352"/>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
  </w:num>
  <w:num w:numId="2">
    <w:abstractNumId w:val="22"/>
  </w:num>
  <w:num w:numId="3">
    <w:abstractNumId w:val="0"/>
  </w:num>
  <w:num w:numId="4">
    <w:abstractNumId w:val="34"/>
  </w:num>
  <w:num w:numId="5">
    <w:abstractNumId w:val="31"/>
  </w:num>
  <w:num w:numId="6">
    <w:abstractNumId w:val="32"/>
  </w:num>
  <w:num w:numId="7">
    <w:abstractNumId w:val="8"/>
  </w:num>
  <w:num w:numId="8">
    <w:abstractNumId w:val="13"/>
  </w:num>
  <w:num w:numId="9">
    <w:abstractNumId w:val="35"/>
  </w:num>
  <w:num w:numId="10">
    <w:abstractNumId w:val="3"/>
  </w:num>
  <w:num w:numId="11">
    <w:abstractNumId w:val="33"/>
  </w:num>
  <w:num w:numId="12">
    <w:abstractNumId w:val="39"/>
  </w:num>
  <w:num w:numId="13">
    <w:abstractNumId w:val="4"/>
  </w:num>
  <w:num w:numId="14">
    <w:abstractNumId w:val="2"/>
  </w:num>
  <w:num w:numId="15">
    <w:abstractNumId w:val="18"/>
  </w:num>
  <w:num w:numId="16">
    <w:abstractNumId w:val="5"/>
  </w:num>
  <w:num w:numId="17">
    <w:abstractNumId w:val="11"/>
  </w:num>
  <w:num w:numId="18">
    <w:abstractNumId w:val="6"/>
  </w:num>
  <w:num w:numId="19">
    <w:abstractNumId w:val="36"/>
  </w:num>
  <w:num w:numId="20">
    <w:abstractNumId w:val="41"/>
  </w:num>
  <w:num w:numId="21">
    <w:abstractNumId w:val="16"/>
  </w:num>
  <w:num w:numId="22">
    <w:abstractNumId w:val="24"/>
  </w:num>
  <w:num w:numId="23">
    <w:abstractNumId w:val="26"/>
  </w:num>
  <w:num w:numId="24">
    <w:abstractNumId w:val="15"/>
  </w:num>
  <w:num w:numId="25">
    <w:abstractNumId w:val="19"/>
  </w:num>
  <w:num w:numId="26">
    <w:abstractNumId w:val="25"/>
  </w:num>
  <w:num w:numId="27">
    <w:abstractNumId w:val="38"/>
  </w:num>
  <w:num w:numId="28">
    <w:abstractNumId w:val="28"/>
  </w:num>
  <w:num w:numId="29">
    <w:abstractNumId w:val="29"/>
  </w:num>
  <w:num w:numId="30">
    <w:abstractNumId w:val="14"/>
  </w:num>
  <w:num w:numId="31">
    <w:abstractNumId w:val="30"/>
  </w:num>
  <w:num w:numId="32">
    <w:abstractNumId w:val="20"/>
  </w:num>
  <w:num w:numId="33">
    <w:abstractNumId w:val="27"/>
  </w:num>
  <w:num w:numId="34">
    <w:abstractNumId w:val="7"/>
  </w:num>
  <w:num w:numId="35">
    <w:abstractNumId w:val="17"/>
  </w:num>
  <w:num w:numId="36">
    <w:abstractNumId w:val="23"/>
  </w:num>
  <w:num w:numId="37">
    <w:abstractNumId w:val="40"/>
  </w:num>
  <w:num w:numId="38">
    <w:abstractNumId w:val="12"/>
  </w:num>
  <w:num w:numId="39">
    <w:abstractNumId w:val="9"/>
  </w:num>
  <w:num w:numId="40">
    <w:abstractNumId w:val="21"/>
  </w:num>
  <w:num w:numId="41">
    <w:abstractNumId w:val="37"/>
  </w:num>
  <w:num w:numId="42">
    <w:abstractNumId w:val="1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autoFormatOverride/>
  <w:defaultTabStop w:val="284"/>
  <w:drawingGridHorizontalSpacing w:val="181"/>
  <w:drawingGridVerticalSpacing w:val="181"/>
  <w:characterSpacingControl w:val="doNotCompress"/>
  <w:hdrShapeDefaults>
    <o:shapedefaults v:ext="edit" spidmax="8193" style="mso-position-vertical-relative:page;mso-width-relative:margin;mso-height-relative:margin;v-text-anchor:bottom" fill="f" fillcolor="white" stroke="f">
      <v:fill color="white" on="f"/>
      <v:stroke weight=".5pt"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A82"/>
    <w:rsid w:val="000025EE"/>
    <w:rsid w:val="00002E59"/>
    <w:rsid w:val="00003131"/>
    <w:rsid w:val="00003151"/>
    <w:rsid w:val="00003F36"/>
    <w:rsid w:val="0000441C"/>
    <w:rsid w:val="0000516B"/>
    <w:rsid w:val="0000545B"/>
    <w:rsid w:val="00005808"/>
    <w:rsid w:val="00006711"/>
    <w:rsid w:val="0000700B"/>
    <w:rsid w:val="00010122"/>
    <w:rsid w:val="00010F0F"/>
    <w:rsid w:val="00011507"/>
    <w:rsid w:val="00011AC7"/>
    <w:rsid w:val="000127B7"/>
    <w:rsid w:val="000130DE"/>
    <w:rsid w:val="0001471E"/>
    <w:rsid w:val="000153F9"/>
    <w:rsid w:val="0001613F"/>
    <w:rsid w:val="0001625A"/>
    <w:rsid w:val="00016A5E"/>
    <w:rsid w:val="00017551"/>
    <w:rsid w:val="0002035C"/>
    <w:rsid w:val="000207F1"/>
    <w:rsid w:val="00020E37"/>
    <w:rsid w:val="00021AD6"/>
    <w:rsid w:val="00021E1B"/>
    <w:rsid w:val="00022416"/>
    <w:rsid w:val="000227A4"/>
    <w:rsid w:val="00022A7B"/>
    <w:rsid w:val="00022F61"/>
    <w:rsid w:val="00023F3C"/>
    <w:rsid w:val="000249D3"/>
    <w:rsid w:val="00024B31"/>
    <w:rsid w:val="000259D5"/>
    <w:rsid w:val="00025C55"/>
    <w:rsid w:val="00025D35"/>
    <w:rsid w:val="0002610D"/>
    <w:rsid w:val="0002678D"/>
    <w:rsid w:val="00026D64"/>
    <w:rsid w:val="0002730C"/>
    <w:rsid w:val="00027C11"/>
    <w:rsid w:val="000310B2"/>
    <w:rsid w:val="000316DA"/>
    <w:rsid w:val="00031C7F"/>
    <w:rsid w:val="00033424"/>
    <w:rsid w:val="00033510"/>
    <w:rsid w:val="00033B96"/>
    <w:rsid w:val="00033C3A"/>
    <w:rsid w:val="000352FE"/>
    <w:rsid w:val="000356FA"/>
    <w:rsid w:val="0003634A"/>
    <w:rsid w:val="0003734D"/>
    <w:rsid w:val="000376A1"/>
    <w:rsid w:val="00037A5F"/>
    <w:rsid w:val="00040758"/>
    <w:rsid w:val="00040AD7"/>
    <w:rsid w:val="00040BAA"/>
    <w:rsid w:val="00041101"/>
    <w:rsid w:val="00041E10"/>
    <w:rsid w:val="000424D7"/>
    <w:rsid w:val="00042EBD"/>
    <w:rsid w:val="000436F0"/>
    <w:rsid w:val="0004436F"/>
    <w:rsid w:val="0004484D"/>
    <w:rsid w:val="00044BF4"/>
    <w:rsid w:val="00045045"/>
    <w:rsid w:val="000450C2"/>
    <w:rsid w:val="0004515C"/>
    <w:rsid w:val="000453C4"/>
    <w:rsid w:val="00045AC9"/>
    <w:rsid w:val="00045C30"/>
    <w:rsid w:val="000470AA"/>
    <w:rsid w:val="0004738B"/>
    <w:rsid w:val="000473ED"/>
    <w:rsid w:val="00047DB8"/>
    <w:rsid w:val="00050E39"/>
    <w:rsid w:val="000510B8"/>
    <w:rsid w:val="0005151F"/>
    <w:rsid w:val="00051762"/>
    <w:rsid w:val="0005190D"/>
    <w:rsid w:val="00052087"/>
    <w:rsid w:val="00052201"/>
    <w:rsid w:val="0005284F"/>
    <w:rsid w:val="0005311B"/>
    <w:rsid w:val="000547B5"/>
    <w:rsid w:val="00054D61"/>
    <w:rsid w:val="00056D3A"/>
    <w:rsid w:val="000577E2"/>
    <w:rsid w:val="000601B3"/>
    <w:rsid w:val="00060270"/>
    <w:rsid w:val="0006153C"/>
    <w:rsid w:val="0006158E"/>
    <w:rsid w:val="000642E3"/>
    <w:rsid w:val="000643B2"/>
    <w:rsid w:val="00064468"/>
    <w:rsid w:val="00065911"/>
    <w:rsid w:val="00065CD7"/>
    <w:rsid w:val="000661B3"/>
    <w:rsid w:val="00066725"/>
    <w:rsid w:val="0006674B"/>
    <w:rsid w:val="000667FB"/>
    <w:rsid w:val="000674B0"/>
    <w:rsid w:val="000679A7"/>
    <w:rsid w:val="00067B5A"/>
    <w:rsid w:val="00067B7B"/>
    <w:rsid w:val="00067FDE"/>
    <w:rsid w:val="00070ACD"/>
    <w:rsid w:val="00070D23"/>
    <w:rsid w:val="00070E8F"/>
    <w:rsid w:val="00070FFC"/>
    <w:rsid w:val="00071371"/>
    <w:rsid w:val="00071DB5"/>
    <w:rsid w:val="0007249B"/>
    <w:rsid w:val="000727DE"/>
    <w:rsid w:val="00072A1C"/>
    <w:rsid w:val="00072CE9"/>
    <w:rsid w:val="0007357A"/>
    <w:rsid w:val="000736F0"/>
    <w:rsid w:val="000739FC"/>
    <w:rsid w:val="00073A59"/>
    <w:rsid w:val="0007413F"/>
    <w:rsid w:val="0007506D"/>
    <w:rsid w:val="00075253"/>
    <w:rsid w:val="000753DF"/>
    <w:rsid w:val="0007554E"/>
    <w:rsid w:val="0007563C"/>
    <w:rsid w:val="000764A1"/>
    <w:rsid w:val="000767DE"/>
    <w:rsid w:val="00076906"/>
    <w:rsid w:val="00076B77"/>
    <w:rsid w:val="00076CDE"/>
    <w:rsid w:val="00076EE5"/>
    <w:rsid w:val="00077C6B"/>
    <w:rsid w:val="00080E21"/>
    <w:rsid w:val="000815E9"/>
    <w:rsid w:val="000825F1"/>
    <w:rsid w:val="0008316E"/>
    <w:rsid w:val="0008389F"/>
    <w:rsid w:val="00083DEB"/>
    <w:rsid w:val="00084EED"/>
    <w:rsid w:val="000869BF"/>
    <w:rsid w:val="0008714D"/>
    <w:rsid w:val="00090050"/>
    <w:rsid w:val="000900A2"/>
    <w:rsid w:val="00090413"/>
    <w:rsid w:val="000917B8"/>
    <w:rsid w:val="00093321"/>
    <w:rsid w:val="000933CC"/>
    <w:rsid w:val="00093DA4"/>
    <w:rsid w:val="00093FCF"/>
    <w:rsid w:val="00094B42"/>
    <w:rsid w:val="00095568"/>
    <w:rsid w:val="000958D1"/>
    <w:rsid w:val="00095C18"/>
    <w:rsid w:val="00097EAE"/>
    <w:rsid w:val="000A0139"/>
    <w:rsid w:val="000A093B"/>
    <w:rsid w:val="000A0CEA"/>
    <w:rsid w:val="000A0FD1"/>
    <w:rsid w:val="000A25FE"/>
    <w:rsid w:val="000A49A8"/>
    <w:rsid w:val="000A5380"/>
    <w:rsid w:val="000A5AF3"/>
    <w:rsid w:val="000A6885"/>
    <w:rsid w:val="000A69DF"/>
    <w:rsid w:val="000A7CF6"/>
    <w:rsid w:val="000B0364"/>
    <w:rsid w:val="000B0A54"/>
    <w:rsid w:val="000B0C3A"/>
    <w:rsid w:val="000B0DFD"/>
    <w:rsid w:val="000B278A"/>
    <w:rsid w:val="000B34FA"/>
    <w:rsid w:val="000B5510"/>
    <w:rsid w:val="000B582A"/>
    <w:rsid w:val="000B5E4A"/>
    <w:rsid w:val="000B6B83"/>
    <w:rsid w:val="000C0052"/>
    <w:rsid w:val="000C191A"/>
    <w:rsid w:val="000C1D23"/>
    <w:rsid w:val="000C1F24"/>
    <w:rsid w:val="000C2525"/>
    <w:rsid w:val="000C28ED"/>
    <w:rsid w:val="000C35EE"/>
    <w:rsid w:val="000C404E"/>
    <w:rsid w:val="000C4277"/>
    <w:rsid w:val="000C58F9"/>
    <w:rsid w:val="000C5D2D"/>
    <w:rsid w:val="000C5DE0"/>
    <w:rsid w:val="000C716E"/>
    <w:rsid w:val="000D0943"/>
    <w:rsid w:val="000D0CF1"/>
    <w:rsid w:val="000D0E9C"/>
    <w:rsid w:val="000D14AD"/>
    <w:rsid w:val="000D1DC4"/>
    <w:rsid w:val="000D2C4E"/>
    <w:rsid w:val="000D2D45"/>
    <w:rsid w:val="000D3540"/>
    <w:rsid w:val="000D48B8"/>
    <w:rsid w:val="000D4944"/>
    <w:rsid w:val="000D4D7D"/>
    <w:rsid w:val="000D58C8"/>
    <w:rsid w:val="000D5960"/>
    <w:rsid w:val="000D621C"/>
    <w:rsid w:val="000D7125"/>
    <w:rsid w:val="000D79D9"/>
    <w:rsid w:val="000E0617"/>
    <w:rsid w:val="000E0671"/>
    <w:rsid w:val="000E09F9"/>
    <w:rsid w:val="000E191D"/>
    <w:rsid w:val="000E1DEA"/>
    <w:rsid w:val="000E2423"/>
    <w:rsid w:val="000E2713"/>
    <w:rsid w:val="000E2EF1"/>
    <w:rsid w:val="000E310E"/>
    <w:rsid w:val="000E3429"/>
    <w:rsid w:val="000E39BD"/>
    <w:rsid w:val="000E4C43"/>
    <w:rsid w:val="000E635D"/>
    <w:rsid w:val="000E6AA7"/>
    <w:rsid w:val="000E72B8"/>
    <w:rsid w:val="000F0F49"/>
    <w:rsid w:val="000F2804"/>
    <w:rsid w:val="000F2B18"/>
    <w:rsid w:val="000F2C23"/>
    <w:rsid w:val="000F30E6"/>
    <w:rsid w:val="000F36C7"/>
    <w:rsid w:val="000F3779"/>
    <w:rsid w:val="000F3D54"/>
    <w:rsid w:val="000F3E08"/>
    <w:rsid w:val="000F3F09"/>
    <w:rsid w:val="000F3FB0"/>
    <w:rsid w:val="000F47B4"/>
    <w:rsid w:val="000F484D"/>
    <w:rsid w:val="000F4852"/>
    <w:rsid w:val="000F48B9"/>
    <w:rsid w:val="000F49F4"/>
    <w:rsid w:val="000F4C28"/>
    <w:rsid w:val="000F4CFA"/>
    <w:rsid w:val="000F4EE1"/>
    <w:rsid w:val="000F5461"/>
    <w:rsid w:val="000F55EC"/>
    <w:rsid w:val="000F6463"/>
    <w:rsid w:val="000F6DA1"/>
    <w:rsid w:val="000F7F6B"/>
    <w:rsid w:val="001004FE"/>
    <w:rsid w:val="00100857"/>
    <w:rsid w:val="00100A82"/>
    <w:rsid w:val="00100C85"/>
    <w:rsid w:val="0010227C"/>
    <w:rsid w:val="0010343E"/>
    <w:rsid w:val="0010417C"/>
    <w:rsid w:val="00104AD3"/>
    <w:rsid w:val="00104C30"/>
    <w:rsid w:val="00104D3E"/>
    <w:rsid w:val="001051A6"/>
    <w:rsid w:val="001058F8"/>
    <w:rsid w:val="00105F9F"/>
    <w:rsid w:val="00107142"/>
    <w:rsid w:val="00107309"/>
    <w:rsid w:val="00107420"/>
    <w:rsid w:val="00107CCD"/>
    <w:rsid w:val="00110644"/>
    <w:rsid w:val="0011071A"/>
    <w:rsid w:val="00110C54"/>
    <w:rsid w:val="00112891"/>
    <w:rsid w:val="0011334C"/>
    <w:rsid w:val="00114142"/>
    <w:rsid w:val="00114276"/>
    <w:rsid w:val="001144A3"/>
    <w:rsid w:val="00114BF6"/>
    <w:rsid w:val="00115D4C"/>
    <w:rsid w:val="00115D8D"/>
    <w:rsid w:val="00116313"/>
    <w:rsid w:val="0011648E"/>
    <w:rsid w:val="001166A8"/>
    <w:rsid w:val="00116D2B"/>
    <w:rsid w:val="00116EAA"/>
    <w:rsid w:val="00117CEB"/>
    <w:rsid w:val="00120009"/>
    <w:rsid w:val="00120052"/>
    <w:rsid w:val="001201BC"/>
    <w:rsid w:val="00121D8A"/>
    <w:rsid w:val="00122370"/>
    <w:rsid w:val="00122803"/>
    <w:rsid w:val="001238D3"/>
    <w:rsid w:val="0012395E"/>
    <w:rsid w:val="00123C3C"/>
    <w:rsid w:val="00124910"/>
    <w:rsid w:val="00124F58"/>
    <w:rsid w:val="00125536"/>
    <w:rsid w:val="00125612"/>
    <w:rsid w:val="001260B7"/>
    <w:rsid w:val="00126FD5"/>
    <w:rsid w:val="0013030C"/>
    <w:rsid w:val="00130AFC"/>
    <w:rsid w:val="0013156D"/>
    <w:rsid w:val="0013215C"/>
    <w:rsid w:val="001327B3"/>
    <w:rsid w:val="001329AD"/>
    <w:rsid w:val="00132A29"/>
    <w:rsid w:val="00135A6C"/>
    <w:rsid w:val="0013610A"/>
    <w:rsid w:val="00136620"/>
    <w:rsid w:val="00137403"/>
    <w:rsid w:val="001379CF"/>
    <w:rsid w:val="00137F11"/>
    <w:rsid w:val="0014156E"/>
    <w:rsid w:val="001415A9"/>
    <w:rsid w:val="001417C9"/>
    <w:rsid w:val="00141A0C"/>
    <w:rsid w:val="00141ACE"/>
    <w:rsid w:val="00142265"/>
    <w:rsid w:val="001426EA"/>
    <w:rsid w:val="0014462D"/>
    <w:rsid w:val="0014522D"/>
    <w:rsid w:val="00145DA2"/>
    <w:rsid w:val="00146D72"/>
    <w:rsid w:val="00147279"/>
    <w:rsid w:val="00147C52"/>
    <w:rsid w:val="00150291"/>
    <w:rsid w:val="00150520"/>
    <w:rsid w:val="00150577"/>
    <w:rsid w:val="00151646"/>
    <w:rsid w:val="001521EB"/>
    <w:rsid w:val="001526E9"/>
    <w:rsid w:val="00152CEB"/>
    <w:rsid w:val="00153460"/>
    <w:rsid w:val="00153889"/>
    <w:rsid w:val="001553D6"/>
    <w:rsid w:val="00156696"/>
    <w:rsid w:val="001569CA"/>
    <w:rsid w:val="0015705C"/>
    <w:rsid w:val="00157DCE"/>
    <w:rsid w:val="0016008B"/>
    <w:rsid w:val="0016050E"/>
    <w:rsid w:val="001606FE"/>
    <w:rsid w:val="00160940"/>
    <w:rsid w:val="00160E74"/>
    <w:rsid w:val="00160F78"/>
    <w:rsid w:val="0016133C"/>
    <w:rsid w:val="00161D6A"/>
    <w:rsid w:val="00161F05"/>
    <w:rsid w:val="00162833"/>
    <w:rsid w:val="00163256"/>
    <w:rsid w:val="0016419E"/>
    <w:rsid w:val="0016465A"/>
    <w:rsid w:val="001649EB"/>
    <w:rsid w:val="00164C51"/>
    <w:rsid w:val="0016561A"/>
    <w:rsid w:val="0016579E"/>
    <w:rsid w:val="001662AA"/>
    <w:rsid w:val="00166CDA"/>
    <w:rsid w:val="00167623"/>
    <w:rsid w:val="00167DC4"/>
    <w:rsid w:val="001708B8"/>
    <w:rsid w:val="00171477"/>
    <w:rsid w:val="00171652"/>
    <w:rsid w:val="001716F5"/>
    <w:rsid w:val="001717E5"/>
    <w:rsid w:val="0017207F"/>
    <w:rsid w:val="0017270E"/>
    <w:rsid w:val="00172E96"/>
    <w:rsid w:val="00173A87"/>
    <w:rsid w:val="00173C1D"/>
    <w:rsid w:val="00175F45"/>
    <w:rsid w:val="00176997"/>
    <w:rsid w:val="0018005E"/>
    <w:rsid w:val="00180615"/>
    <w:rsid w:val="001818F8"/>
    <w:rsid w:val="00181949"/>
    <w:rsid w:val="00181ABF"/>
    <w:rsid w:val="00181FAF"/>
    <w:rsid w:val="00181FC3"/>
    <w:rsid w:val="00182498"/>
    <w:rsid w:val="00182599"/>
    <w:rsid w:val="00182E20"/>
    <w:rsid w:val="00183343"/>
    <w:rsid w:val="00183378"/>
    <w:rsid w:val="0018409E"/>
    <w:rsid w:val="001842C0"/>
    <w:rsid w:val="00184DCD"/>
    <w:rsid w:val="00185256"/>
    <w:rsid w:val="001854DD"/>
    <w:rsid w:val="00185BFB"/>
    <w:rsid w:val="001862C0"/>
    <w:rsid w:val="001868ED"/>
    <w:rsid w:val="00186B07"/>
    <w:rsid w:val="00190629"/>
    <w:rsid w:val="0019089C"/>
    <w:rsid w:val="00190CF2"/>
    <w:rsid w:val="00191119"/>
    <w:rsid w:val="001913FA"/>
    <w:rsid w:val="00191CD3"/>
    <w:rsid w:val="001924D1"/>
    <w:rsid w:val="001928F5"/>
    <w:rsid w:val="00192B0F"/>
    <w:rsid w:val="0019393C"/>
    <w:rsid w:val="00195A80"/>
    <w:rsid w:val="00195E30"/>
    <w:rsid w:val="00195FC8"/>
    <w:rsid w:val="00197D4E"/>
    <w:rsid w:val="001A0155"/>
    <w:rsid w:val="001A01B3"/>
    <w:rsid w:val="001A13F8"/>
    <w:rsid w:val="001A175C"/>
    <w:rsid w:val="001A1C26"/>
    <w:rsid w:val="001A1F2A"/>
    <w:rsid w:val="001A22ED"/>
    <w:rsid w:val="001A2542"/>
    <w:rsid w:val="001A2FF0"/>
    <w:rsid w:val="001A3886"/>
    <w:rsid w:val="001A4D61"/>
    <w:rsid w:val="001A5A6C"/>
    <w:rsid w:val="001A5C9A"/>
    <w:rsid w:val="001A5FD9"/>
    <w:rsid w:val="001A6382"/>
    <w:rsid w:val="001A7190"/>
    <w:rsid w:val="001B0E4A"/>
    <w:rsid w:val="001B3DA9"/>
    <w:rsid w:val="001B40C7"/>
    <w:rsid w:val="001B421B"/>
    <w:rsid w:val="001B5502"/>
    <w:rsid w:val="001B6733"/>
    <w:rsid w:val="001B702B"/>
    <w:rsid w:val="001B7317"/>
    <w:rsid w:val="001B7CBC"/>
    <w:rsid w:val="001C1079"/>
    <w:rsid w:val="001C108E"/>
    <w:rsid w:val="001C2290"/>
    <w:rsid w:val="001C2E86"/>
    <w:rsid w:val="001C3D1C"/>
    <w:rsid w:val="001C5683"/>
    <w:rsid w:val="001C57DC"/>
    <w:rsid w:val="001C5C62"/>
    <w:rsid w:val="001C62BC"/>
    <w:rsid w:val="001C6C87"/>
    <w:rsid w:val="001C6D95"/>
    <w:rsid w:val="001C7973"/>
    <w:rsid w:val="001C7FA4"/>
    <w:rsid w:val="001D0756"/>
    <w:rsid w:val="001D08F0"/>
    <w:rsid w:val="001D14C1"/>
    <w:rsid w:val="001D1E3D"/>
    <w:rsid w:val="001D243D"/>
    <w:rsid w:val="001D2B07"/>
    <w:rsid w:val="001D2DBA"/>
    <w:rsid w:val="001D30F1"/>
    <w:rsid w:val="001D3E7C"/>
    <w:rsid w:val="001D4226"/>
    <w:rsid w:val="001D4F71"/>
    <w:rsid w:val="001D6B61"/>
    <w:rsid w:val="001D6B77"/>
    <w:rsid w:val="001D705F"/>
    <w:rsid w:val="001D798A"/>
    <w:rsid w:val="001D7E0B"/>
    <w:rsid w:val="001E046A"/>
    <w:rsid w:val="001E06E9"/>
    <w:rsid w:val="001E18A2"/>
    <w:rsid w:val="001E1C0B"/>
    <w:rsid w:val="001E1CD2"/>
    <w:rsid w:val="001E212F"/>
    <w:rsid w:val="001E25CB"/>
    <w:rsid w:val="001E265A"/>
    <w:rsid w:val="001E3014"/>
    <w:rsid w:val="001E5720"/>
    <w:rsid w:val="001E5A0D"/>
    <w:rsid w:val="001E5A9A"/>
    <w:rsid w:val="001E5C6A"/>
    <w:rsid w:val="001E65EC"/>
    <w:rsid w:val="001E6793"/>
    <w:rsid w:val="001F0330"/>
    <w:rsid w:val="001F0DBE"/>
    <w:rsid w:val="001F305F"/>
    <w:rsid w:val="001F3859"/>
    <w:rsid w:val="001F3F45"/>
    <w:rsid w:val="001F481A"/>
    <w:rsid w:val="001F4AF4"/>
    <w:rsid w:val="001F4B5B"/>
    <w:rsid w:val="001F75A7"/>
    <w:rsid w:val="001F77BA"/>
    <w:rsid w:val="001F7DF0"/>
    <w:rsid w:val="0020083E"/>
    <w:rsid w:val="0020285F"/>
    <w:rsid w:val="00203404"/>
    <w:rsid w:val="0020410D"/>
    <w:rsid w:val="0020677E"/>
    <w:rsid w:val="00206A07"/>
    <w:rsid w:val="00206AF3"/>
    <w:rsid w:val="00206C52"/>
    <w:rsid w:val="00207A02"/>
    <w:rsid w:val="00207DF8"/>
    <w:rsid w:val="00207EBD"/>
    <w:rsid w:val="0021013D"/>
    <w:rsid w:val="00213218"/>
    <w:rsid w:val="0021324A"/>
    <w:rsid w:val="00215AFC"/>
    <w:rsid w:val="00215B79"/>
    <w:rsid w:val="0021617E"/>
    <w:rsid w:val="002169EC"/>
    <w:rsid w:val="00217244"/>
    <w:rsid w:val="00217FE4"/>
    <w:rsid w:val="0022049F"/>
    <w:rsid w:val="002205FA"/>
    <w:rsid w:val="00220D69"/>
    <w:rsid w:val="00220DF9"/>
    <w:rsid w:val="00220E28"/>
    <w:rsid w:val="00221C59"/>
    <w:rsid w:val="002221A7"/>
    <w:rsid w:val="00222923"/>
    <w:rsid w:val="002229E3"/>
    <w:rsid w:val="002243C1"/>
    <w:rsid w:val="00224E78"/>
    <w:rsid w:val="00225F85"/>
    <w:rsid w:val="002263F5"/>
    <w:rsid w:val="00226B6F"/>
    <w:rsid w:val="0022764D"/>
    <w:rsid w:val="00230250"/>
    <w:rsid w:val="00230B4D"/>
    <w:rsid w:val="00231E6E"/>
    <w:rsid w:val="002320B3"/>
    <w:rsid w:val="00232376"/>
    <w:rsid w:val="00233F8A"/>
    <w:rsid w:val="002352B8"/>
    <w:rsid w:val="002352D0"/>
    <w:rsid w:val="00236759"/>
    <w:rsid w:val="0023701E"/>
    <w:rsid w:val="002379FC"/>
    <w:rsid w:val="00237A4E"/>
    <w:rsid w:val="00237CC2"/>
    <w:rsid w:val="0024075F"/>
    <w:rsid w:val="002409F5"/>
    <w:rsid w:val="00241FC6"/>
    <w:rsid w:val="002421A7"/>
    <w:rsid w:val="002431C7"/>
    <w:rsid w:val="00243B86"/>
    <w:rsid w:val="00243FD7"/>
    <w:rsid w:val="00244352"/>
    <w:rsid w:val="0024452C"/>
    <w:rsid w:val="00244895"/>
    <w:rsid w:val="002451B1"/>
    <w:rsid w:val="00245964"/>
    <w:rsid w:val="00245DDB"/>
    <w:rsid w:val="0024655F"/>
    <w:rsid w:val="002466FC"/>
    <w:rsid w:val="00246AFE"/>
    <w:rsid w:val="00246E42"/>
    <w:rsid w:val="00247050"/>
    <w:rsid w:val="00250721"/>
    <w:rsid w:val="0025092C"/>
    <w:rsid w:val="00251896"/>
    <w:rsid w:val="002522DC"/>
    <w:rsid w:val="002536CB"/>
    <w:rsid w:val="00253EF7"/>
    <w:rsid w:val="00254520"/>
    <w:rsid w:val="00255FC8"/>
    <w:rsid w:val="002571A8"/>
    <w:rsid w:val="00257515"/>
    <w:rsid w:val="00257577"/>
    <w:rsid w:val="002603CC"/>
    <w:rsid w:val="002605FE"/>
    <w:rsid w:val="00260688"/>
    <w:rsid w:val="002611CC"/>
    <w:rsid w:val="00261A16"/>
    <w:rsid w:val="00261D31"/>
    <w:rsid w:val="00261D3D"/>
    <w:rsid w:val="00261E11"/>
    <w:rsid w:val="00262D18"/>
    <w:rsid w:val="00262D6A"/>
    <w:rsid w:val="00262D7D"/>
    <w:rsid w:val="002635D0"/>
    <w:rsid w:val="00263693"/>
    <w:rsid w:val="00264358"/>
    <w:rsid w:val="00264733"/>
    <w:rsid w:val="002648AD"/>
    <w:rsid w:val="002649B8"/>
    <w:rsid w:val="00264AD0"/>
    <w:rsid w:val="00265099"/>
    <w:rsid w:val="00265836"/>
    <w:rsid w:val="00265E5E"/>
    <w:rsid w:val="00266B50"/>
    <w:rsid w:val="0026721B"/>
    <w:rsid w:val="002672A5"/>
    <w:rsid w:val="0026778D"/>
    <w:rsid w:val="00270C3E"/>
    <w:rsid w:val="002714BC"/>
    <w:rsid w:val="0027218C"/>
    <w:rsid w:val="00273010"/>
    <w:rsid w:val="0027574F"/>
    <w:rsid w:val="00275A20"/>
    <w:rsid w:val="00275EE6"/>
    <w:rsid w:val="00275F76"/>
    <w:rsid w:val="0027670F"/>
    <w:rsid w:val="00280B08"/>
    <w:rsid w:val="00280BC9"/>
    <w:rsid w:val="0028130F"/>
    <w:rsid w:val="00281E51"/>
    <w:rsid w:val="00281FCF"/>
    <w:rsid w:val="00282503"/>
    <w:rsid w:val="00282C66"/>
    <w:rsid w:val="0028378E"/>
    <w:rsid w:val="0028572D"/>
    <w:rsid w:val="00285740"/>
    <w:rsid w:val="00285C01"/>
    <w:rsid w:val="00285E09"/>
    <w:rsid w:val="002878C5"/>
    <w:rsid w:val="002879E0"/>
    <w:rsid w:val="002901EE"/>
    <w:rsid w:val="002906A9"/>
    <w:rsid w:val="00290802"/>
    <w:rsid w:val="002917B5"/>
    <w:rsid w:val="0029192A"/>
    <w:rsid w:val="00293383"/>
    <w:rsid w:val="00294B24"/>
    <w:rsid w:val="002957F3"/>
    <w:rsid w:val="00296439"/>
    <w:rsid w:val="0029657C"/>
    <w:rsid w:val="00296958"/>
    <w:rsid w:val="002971AD"/>
    <w:rsid w:val="002979A8"/>
    <w:rsid w:val="00297A1D"/>
    <w:rsid w:val="002A0780"/>
    <w:rsid w:val="002A0A53"/>
    <w:rsid w:val="002A1C20"/>
    <w:rsid w:val="002A1D7A"/>
    <w:rsid w:val="002A40E2"/>
    <w:rsid w:val="002A46E7"/>
    <w:rsid w:val="002A4738"/>
    <w:rsid w:val="002A4A6F"/>
    <w:rsid w:val="002A55FB"/>
    <w:rsid w:val="002A565F"/>
    <w:rsid w:val="002A6012"/>
    <w:rsid w:val="002A643F"/>
    <w:rsid w:val="002A6526"/>
    <w:rsid w:val="002A6B18"/>
    <w:rsid w:val="002A79A0"/>
    <w:rsid w:val="002A7BEE"/>
    <w:rsid w:val="002A7D95"/>
    <w:rsid w:val="002A7DDB"/>
    <w:rsid w:val="002B0053"/>
    <w:rsid w:val="002B1298"/>
    <w:rsid w:val="002B12BB"/>
    <w:rsid w:val="002B1A7A"/>
    <w:rsid w:val="002B1C76"/>
    <w:rsid w:val="002B1ECC"/>
    <w:rsid w:val="002B29E2"/>
    <w:rsid w:val="002B4797"/>
    <w:rsid w:val="002B52C8"/>
    <w:rsid w:val="002B58D5"/>
    <w:rsid w:val="002B6EB1"/>
    <w:rsid w:val="002B6EDC"/>
    <w:rsid w:val="002B7BC0"/>
    <w:rsid w:val="002B7F6E"/>
    <w:rsid w:val="002C0A88"/>
    <w:rsid w:val="002C127D"/>
    <w:rsid w:val="002C22B1"/>
    <w:rsid w:val="002C2968"/>
    <w:rsid w:val="002C3425"/>
    <w:rsid w:val="002C3C13"/>
    <w:rsid w:val="002C4A9E"/>
    <w:rsid w:val="002C4F51"/>
    <w:rsid w:val="002C51CF"/>
    <w:rsid w:val="002C55D8"/>
    <w:rsid w:val="002C5E0F"/>
    <w:rsid w:val="002C6206"/>
    <w:rsid w:val="002C6460"/>
    <w:rsid w:val="002C64A9"/>
    <w:rsid w:val="002C7861"/>
    <w:rsid w:val="002D0670"/>
    <w:rsid w:val="002D0982"/>
    <w:rsid w:val="002D0CDA"/>
    <w:rsid w:val="002D13A3"/>
    <w:rsid w:val="002D14AE"/>
    <w:rsid w:val="002D1632"/>
    <w:rsid w:val="002D2B11"/>
    <w:rsid w:val="002D3AF5"/>
    <w:rsid w:val="002D55FF"/>
    <w:rsid w:val="002D5B30"/>
    <w:rsid w:val="002D768A"/>
    <w:rsid w:val="002E0A7D"/>
    <w:rsid w:val="002E0FC3"/>
    <w:rsid w:val="002E13A2"/>
    <w:rsid w:val="002E1554"/>
    <w:rsid w:val="002E371E"/>
    <w:rsid w:val="002E4FE2"/>
    <w:rsid w:val="002E5CFC"/>
    <w:rsid w:val="002E60D9"/>
    <w:rsid w:val="002E6E38"/>
    <w:rsid w:val="002E73FF"/>
    <w:rsid w:val="002E7B9F"/>
    <w:rsid w:val="002F1114"/>
    <w:rsid w:val="002F2190"/>
    <w:rsid w:val="002F2A4E"/>
    <w:rsid w:val="002F3110"/>
    <w:rsid w:val="002F4461"/>
    <w:rsid w:val="002F4ED6"/>
    <w:rsid w:val="002F5CCA"/>
    <w:rsid w:val="002F6598"/>
    <w:rsid w:val="002F7BBE"/>
    <w:rsid w:val="00302FF2"/>
    <w:rsid w:val="00303602"/>
    <w:rsid w:val="00304315"/>
    <w:rsid w:val="00304E87"/>
    <w:rsid w:val="003059A9"/>
    <w:rsid w:val="00305A8F"/>
    <w:rsid w:val="00305D00"/>
    <w:rsid w:val="003069C2"/>
    <w:rsid w:val="00306D6C"/>
    <w:rsid w:val="003072D6"/>
    <w:rsid w:val="003077DC"/>
    <w:rsid w:val="0030783B"/>
    <w:rsid w:val="00307C41"/>
    <w:rsid w:val="00307CB5"/>
    <w:rsid w:val="00307D47"/>
    <w:rsid w:val="00310579"/>
    <w:rsid w:val="003122DA"/>
    <w:rsid w:val="00312A27"/>
    <w:rsid w:val="0031303A"/>
    <w:rsid w:val="003135B1"/>
    <w:rsid w:val="00313839"/>
    <w:rsid w:val="00314B38"/>
    <w:rsid w:val="00315064"/>
    <w:rsid w:val="00315454"/>
    <w:rsid w:val="00315660"/>
    <w:rsid w:val="00317653"/>
    <w:rsid w:val="00317B87"/>
    <w:rsid w:val="0032095F"/>
    <w:rsid w:val="003210AE"/>
    <w:rsid w:val="00321430"/>
    <w:rsid w:val="00321EC4"/>
    <w:rsid w:val="00322057"/>
    <w:rsid w:val="00323E06"/>
    <w:rsid w:val="003248C8"/>
    <w:rsid w:val="00324BEB"/>
    <w:rsid w:val="003251A6"/>
    <w:rsid w:val="003257D3"/>
    <w:rsid w:val="003260A5"/>
    <w:rsid w:val="003260F6"/>
    <w:rsid w:val="00326274"/>
    <w:rsid w:val="00326649"/>
    <w:rsid w:val="0032683A"/>
    <w:rsid w:val="003269FA"/>
    <w:rsid w:val="00326C8A"/>
    <w:rsid w:val="003274FF"/>
    <w:rsid w:val="00327B77"/>
    <w:rsid w:val="003312D3"/>
    <w:rsid w:val="00331477"/>
    <w:rsid w:val="00331D18"/>
    <w:rsid w:val="00331D7A"/>
    <w:rsid w:val="00332124"/>
    <w:rsid w:val="0033276A"/>
    <w:rsid w:val="00332C2F"/>
    <w:rsid w:val="00332DF4"/>
    <w:rsid w:val="00332E43"/>
    <w:rsid w:val="0033352C"/>
    <w:rsid w:val="0033359D"/>
    <w:rsid w:val="003336F8"/>
    <w:rsid w:val="003341B7"/>
    <w:rsid w:val="00335568"/>
    <w:rsid w:val="00335B04"/>
    <w:rsid w:val="003365CF"/>
    <w:rsid w:val="00336DE9"/>
    <w:rsid w:val="003370DB"/>
    <w:rsid w:val="00337E45"/>
    <w:rsid w:val="00340E33"/>
    <w:rsid w:val="00341210"/>
    <w:rsid w:val="003414BD"/>
    <w:rsid w:val="0034190B"/>
    <w:rsid w:val="00341A1C"/>
    <w:rsid w:val="00343B9C"/>
    <w:rsid w:val="00344A45"/>
    <w:rsid w:val="00344E87"/>
    <w:rsid w:val="0034644E"/>
    <w:rsid w:val="003469C3"/>
    <w:rsid w:val="0034752C"/>
    <w:rsid w:val="00347E62"/>
    <w:rsid w:val="00350110"/>
    <w:rsid w:val="00350D35"/>
    <w:rsid w:val="00351199"/>
    <w:rsid w:val="00352285"/>
    <w:rsid w:val="00352292"/>
    <w:rsid w:val="00352524"/>
    <w:rsid w:val="00352742"/>
    <w:rsid w:val="003531BF"/>
    <w:rsid w:val="00353257"/>
    <w:rsid w:val="00353C89"/>
    <w:rsid w:val="00354556"/>
    <w:rsid w:val="00354828"/>
    <w:rsid w:val="00354B28"/>
    <w:rsid w:val="003562CE"/>
    <w:rsid w:val="00356782"/>
    <w:rsid w:val="0035771F"/>
    <w:rsid w:val="00357824"/>
    <w:rsid w:val="00357A99"/>
    <w:rsid w:val="003602D2"/>
    <w:rsid w:val="003608BD"/>
    <w:rsid w:val="00361E7B"/>
    <w:rsid w:val="00362B57"/>
    <w:rsid w:val="00362C3F"/>
    <w:rsid w:val="00362EFE"/>
    <w:rsid w:val="0036338D"/>
    <w:rsid w:val="003636A0"/>
    <w:rsid w:val="00365548"/>
    <w:rsid w:val="00365750"/>
    <w:rsid w:val="00365AD1"/>
    <w:rsid w:val="003660A0"/>
    <w:rsid w:val="00367311"/>
    <w:rsid w:val="00367A64"/>
    <w:rsid w:val="00370B32"/>
    <w:rsid w:val="00370BA8"/>
    <w:rsid w:val="00371538"/>
    <w:rsid w:val="003718BD"/>
    <w:rsid w:val="00372765"/>
    <w:rsid w:val="00372DA8"/>
    <w:rsid w:val="00373C3D"/>
    <w:rsid w:val="003746B9"/>
    <w:rsid w:val="0037494D"/>
    <w:rsid w:val="00375B71"/>
    <w:rsid w:val="003775CA"/>
    <w:rsid w:val="00377725"/>
    <w:rsid w:val="00377D79"/>
    <w:rsid w:val="00380587"/>
    <w:rsid w:val="00380ECE"/>
    <w:rsid w:val="00381838"/>
    <w:rsid w:val="00382586"/>
    <w:rsid w:val="0038265E"/>
    <w:rsid w:val="00382DEA"/>
    <w:rsid w:val="00383434"/>
    <w:rsid w:val="00383C37"/>
    <w:rsid w:val="00383CBC"/>
    <w:rsid w:val="00383ED4"/>
    <w:rsid w:val="003842EB"/>
    <w:rsid w:val="0038492E"/>
    <w:rsid w:val="003857C6"/>
    <w:rsid w:val="003871E5"/>
    <w:rsid w:val="00387F0A"/>
    <w:rsid w:val="003901C4"/>
    <w:rsid w:val="003909B8"/>
    <w:rsid w:val="00390BD9"/>
    <w:rsid w:val="00391236"/>
    <w:rsid w:val="0039123E"/>
    <w:rsid w:val="0039178E"/>
    <w:rsid w:val="00391F86"/>
    <w:rsid w:val="0039242F"/>
    <w:rsid w:val="00392640"/>
    <w:rsid w:val="00392761"/>
    <w:rsid w:val="00392961"/>
    <w:rsid w:val="003936AA"/>
    <w:rsid w:val="00393FCB"/>
    <w:rsid w:val="00394AD3"/>
    <w:rsid w:val="00394B0A"/>
    <w:rsid w:val="00394D7A"/>
    <w:rsid w:val="00396C53"/>
    <w:rsid w:val="00397B5F"/>
    <w:rsid w:val="00397B98"/>
    <w:rsid w:val="00397F31"/>
    <w:rsid w:val="003A05CF"/>
    <w:rsid w:val="003A0C2B"/>
    <w:rsid w:val="003A1CB3"/>
    <w:rsid w:val="003A1E26"/>
    <w:rsid w:val="003A308A"/>
    <w:rsid w:val="003A3B1B"/>
    <w:rsid w:val="003A3C0F"/>
    <w:rsid w:val="003A4262"/>
    <w:rsid w:val="003A489E"/>
    <w:rsid w:val="003A4AA4"/>
    <w:rsid w:val="003A5373"/>
    <w:rsid w:val="003A6A4E"/>
    <w:rsid w:val="003A733F"/>
    <w:rsid w:val="003A7BEA"/>
    <w:rsid w:val="003B09F7"/>
    <w:rsid w:val="003B1FCB"/>
    <w:rsid w:val="003B3332"/>
    <w:rsid w:val="003B3C13"/>
    <w:rsid w:val="003B3D1E"/>
    <w:rsid w:val="003B4BBF"/>
    <w:rsid w:val="003B4D93"/>
    <w:rsid w:val="003B51F4"/>
    <w:rsid w:val="003B539D"/>
    <w:rsid w:val="003B566B"/>
    <w:rsid w:val="003B5CE3"/>
    <w:rsid w:val="003B6CD3"/>
    <w:rsid w:val="003C083E"/>
    <w:rsid w:val="003C0DB9"/>
    <w:rsid w:val="003C12C4"/>
    <w:rsid w:val="003C222D"/>
    <w:rsid w:val="003C235A"/>
    <w:rsid w:val="003C25C7"/>
    <w:rsid w:val="003C2B94"/>
    <w:rsid w:val="003C2F41"/>
    <w:rsid w:val="003C408D"/>
    <w:rsid w:val="003C4B68"/>
    <w:rsid w:val="003C5731"/>
    <w:rsid w:val="003C5A96"/>
    <w:rsid w:val="003C5AAD"/>
    <w:rsid w:val="003C5CCB"/>
    <w:rsid w:val="003C6B92"/>
    <w:rsid w:val="003C6E5B"/>
    <w:rsid w:val="003C72ED"/>
    <w:rsid w:val="003C7A49"/>
    <w:rsid w:val="003C7BEC"/>
    <w:rsid w:val="003D052F"/>
    <w:rsid w:val="003D17D1"/>
    <w:rsid w:val="003D243F"/>
    <w:rsid w:val="003D2585"/>
    <w:rsid w:val="003D3C22"/>
    <w:rsid w:val="003D516F"/>
    <w:rsid w:val="003D63EE"/>
    <w:rsid w:val="003D6422"/>
    <w:rsid w:val="003D7BBA"/>
    <w:rsid w:val="003D7D67"/>
    <w:rsid w:val="003D7FE2"/>
    <w:rsid w:val="003E0086"/>
    <w:rsid w:val="003E0957"/>
    <w:rsid w:val="003E1F81"/>
    <w:rsid w:val="003E233B"/>
    <w:rsid w:val="003E266E"/>
    <w:rsid w:val="003E36AF"/>
    <w:rsid w:val="003E4786"/>
    <w:rsid w:val="003E4A40"/>
    <w:rsid w:val="003E56EA"/>
    <w:rsid w:val="003E6373"/>
    <w:rsid w:val="003E638A"/>
    <w:rsid w:val="003E6D74"/>
    <w:rsid w:val="003E6F5B"/>
    <w:rsid w:val="003E6FE1"/>
    <w:rsid w:val="003F1894"/>
    <w:rsid w:val="003F1AD6"/>
    <w:rsid w:val="003F283D"/>
    <w:rsid w:val="003F2FF5"/>
    <w:rsid w:val="003F30C4"/>
    <w:rsid w:val="003F3AAF"/>
    <w:rsid w:val="003F4289"/>
    <w:rsid w:val="003F4D12"/>
    <w:rsid w:val="003F5AD8"/>
    <w:rsid w:val="00400ED6"/>
    <w:rsid w:val="0040162B"/>
    <w:rsid w:val="0040181B"/>
    <w:rsid w:val="00404574"/>
    <w:rsid w:val="004047F1"/>
    <w:rsid w:val="00404B18"/>
    <w:rsid w:val="00404BEA"/>
    <w:rsid w:val="004058FE"/>
    <w:rsid w:val="004059F7"/>
    <w:rsid w:val="00406638"/>
    <w:rsid w:val="004067EB"/>
    <w:rsid w:val="00406A0F"/>
    <w:rsid w:val="004074D8"/>
    <w:rsid w:val="004079B4"/>
    <w:rsid w:val="00407D51"/>
    <w:rsid w:val="004108F7"/>
    <w:rsid w:val="00412DF8"/>
    <w:rsid w:val="00414547"/>
    <w:rsid w:val="0041466D"/>
    <w:rsid w:val="004153CF"/>
    <w:rsid w:val="00415EE6"/>
    <w:rsid w:val="0041660E"/>
    <w:rsid w:val="004175FB"/>
    <w:rsid w:val="0042011B"/>
    <w:rsid w:val="00420909"/>
    <w:rsid w:val="00420E04"/>
    <w:rsid w:val="00421255"/>
    <w:rsid w:val="00421538"/>
    <w:rsid w:val="004219C8"/>
    <w:rsid w:val="00421D28"/>
    <w:rsid w:val="00424C00"/>
    <w:rsid w:val="004252B2"/>
    <w:rsid w:val="004268F8"/>
    <w:rsid w:val="0042766D"/>
    <w:rsid w:val="00427DC7"/>
    <w:rsid w:val="00427E54"/>
    <w:rsid w:val="00430272"/>
    <w:rsid w:val="004313B1"/>
    <w:rsid w:val="00432375"/>
    <w:rsid w:val="00433B70"/>
    <w:rsid w:val="00435020"/>
    <w:rsid w:val="00435077"/>
    <w:rsid w:val="00435151"/>
    <w:rsid w:val="004361C0"/>
    <w:rsid w:val="0043639B"/>
    <w:rsid w:val="00436841"/>
    <w:rsid w:val="00436E9E"/>
    <w:rsid w:val="004377DD"/>
    <w:rsid w:val="00437E1E"/>
    <w:rsid w:val="004404B2"/>
    <w:rsid w:val="0044309D"/>
    <w:rsid w:val="00444293"/>
    <w:rsid w:val="00444795"/>
    <w:rsid w:val="00445009"/>
    <w:rsid w:val="0044536C"/>
    <w:rsid w:val="0044589A"/>
    <w:rsid w:val="004478A0"/>
    <w:rsid w:val="0045024D"/>
    <w:rsid w:val="00450A26"/>
    <w:rsid w:val="00450D25"/>
    <w:rsid w:val="00451BD6"/>
    <w:rsid w:val="00452085"/>
    <w:rsid w:val="00452933"/>
    <w:rsid w:val="0045334C"/>
    <w:rsid w:val="0045482D"/>
    <w:rsid w:val="004553C2"/>
    <w:rsid w:val="0045620C"/>
    <w:rsid w:val="0045686B"/>
    <w:rsid w:val="00456BF9"/>
    <w:rsid w:val="004575FB"/>
    <w:rsid w:val="00457B41"/>
    <w:rsid w:val="00461091"/>
    <w:rsid w:val="00461B4A"/>
    <w:rsid w:val="004621E0"/>
    <w:rsid w:val="00462488"/>
    <w:rsid w:val="0046255C"/>
    <w:rsid w:val="0046460B"/>
    <w:rsid w:val="00464F6E"/>
    <w:rsid w:val="0046593E"/>
    <w:rsid w:val="00466024"/>
    <w:rsid w:val="00466594"/>
    <w:rsid w:val="0046662F"/>
    <w:rsid w:val="0046686E"/>
    <w:rsid w:val="004674F4"/>
    <w:rsid w:val="0047013B"/>
    <w:rsid w:val="00471480"/>
    <w:rsid w:val="00471A29"/>
    <w:rsid w:val="00471DF0"/>
    <w:rsid w:val="00472046"/>
    <w:rsid w:val="0047373A"/>
    <w:rsid w:val="00473FDE"/>
    <w:rsid w:val="0047467D"/>
    <w:rsid w:val="0047580A"/>
    <w:rsid w:val="00475AF3"/>
    <w:rsid w:val="00476980"/>
    <w:rsid w:val="0047797F"/>
    <w:rsid w:val="004802E4"/>
    <w:rsid w:val="00480544"/>
    <w:rsid w:val="00480DBB"/>
    <w:rsid w:val="00480E9E"/>
    <w:rsid w:val="00481FC6"/>
    <w:rsid w:val="00483443"/>
    <w:rsid w:val="00483490"/>
    <w:rsid w:val="004836C9"/>
    <w:rsid w:val="004838A3"/>
    <w:rsid w:val="00483AAD"/>
    <w:rsid w:val="004859D4"/>
    <w:rsid w:val="00485BCA"/>
    <w:rsid w:val="00486D32"/>
    <w:rsid w:val="004902B8"/>
    <w:rsid w:val="004904C1"/>
    <w:rsid w:val="0049054E"/>
    <w:rsid w:val="00490E62"/>
    <w:rsid w:val="00491772"/>
    <w:rsid w:val="00491CF0"/>
    <w:rsid w:val="00491D27"/>
    <w:rsid w:val="004923CD"/>
    <w:rsid w:val="00494549"/>
    <w:rsid w:val="00495FEA"/>
    <w:rsid w:val="0049651C"/>
    <w:rsid w:val="00496553"/>
    <w:rsid w:val="00496ACF"/>
    <w:rsid w:val="00496BF5"/>
    <w:rsid w:val="00496EF7"/>
    <w:rsid w:val="00497E44"/>
    <w:rsid w:val="004A0119"/>
    <w:rsid w:val="004A0685"/>
    <w:rsid w:val="004A0A67"/>
    <w:rsid w:val="004A18E9"/>
    <w:rsid w:val="004A26A9"/>
    <w:rsid w:val="004A2D37"/>
    <w:rsid w:val="004A3332"/>
    <w:rsid w:val="004A344B"/>
    <w:rsid w:val="004A60DF"/>
    <w:rsid w:val="004A72AE"/>
    <w:rsid w:val="004B0C31"/>
    <w:rsid w:val="004B0D5D"/>
    <w:rsid w:val="004B0E1F"/>
    <w:rsid w:val="004B2061"/>
    <w:rsid w:val="004B24AD"/>
    <w:rsid w:val="004B27AB"/>
    <w:rsid w:val="004B5161"/>
    <w:rsid w:val="004B521C"/>
    <w:rsid w:val="004B526E"/>
    <w:rsid w:val="004B5867"/>
    <w:rsid w:val="004B6CA6"/>
    <w:rsid w:val="004B6CB2"/>
    <w:rsid w:val="004B6D6D"/>
    <w:rsid w:val="004B6F62"/>
    <w:rsid w:val="004B76EC"/>
    <w:rsid w:val="004B7B7E"/>
    <w:rsid w:val="004C054E"/>
    <w:rsid w:val="004C1E8E"/>
    <w:rsid w:val="004C24C7"/>
    <w:rsid w:val="004C2A07"/>
    <w:rsid w:val="004C3EEA"/>
    <w:rsid w:val="004C4162"/>
    <w:rsid w:val="004C498A"/>
    <w:rsid w:val="004C4DBA"/>
    <w:rsid w:val="004C5309"/>
    <w:rsid w:val="004C5902"/>
    <w:rsid w:val="004C5AE5"/>
    <w:rsid w:val="004C63CF"/>
    <w:rsid w:val="004C6595"/>
    <w:rsid w:val="004C6C01"/>
    <w:rsid w:val="004C7DD2"/>
    <w:rsid w:val="004D0B0A"/>
    <w:rsid w:val="004D0CFD"/>
    <w:rsid w:val="004D11FE"/>
    <w:rsid w:val="004D131F"/>
    <w:rsid w:val="004D1E33"/>
    <w:rsid w:val="004D2EE5"/>
    <w:rsid w:val="004D3305"/>
    <w:rsid w:val="004D33B4"/>
    <w:rsid w:val="004D3AAF"/>
    <w:rsid w:val="004D418A"/>
    <w:rsid w:val="004D4AF5"/>
    <w:rsid w:val="004D51E6"/>
    <w:rsid w:val="004D54F9"/>
    <w:rsid w:val="004D5F6C"/>
    <w:rsid w:val="004D657C"/>
    <w:rsid w:val="004D67E8"/>
    <w:rsid w:val="004D7635"/>
    <w:rsid w:val="004D784E"/>
    <w:rsid w:val="004E02DD"/>
    <w:rsid w:val="004E0B9D"/>
    <w:rsid w:val="004E197D"/>
    <w:rsid w:val="004E1B24"/>
    <w:rsid w:val="004E1E07"/>
    <w:rsid w:val="004E41C3"/>
    <w:rsid w:val="004E4467"/>
    <w:rsid w:val="004E4C4C"/>
    <w:rsid w:val="004E4E4A"/>
    <w:rsid w:val="004E7995"/>
    <w:rsid w:val="004F0C98"/>
    <w:rsid w:val="004F0CD3"/>
    <w:rsid w:val="004F0FCB"/>
    <w:rsid w:val="004F130E"/>
    <w:rsid w:val="004F1352"/>
    <w:rsid w:val="004F2102"/>
    <w:rsid w:val="004F2609"/>
    <w:rsid w:val="004F311E"/>
    <w:rsid w:val="004F3A6A"/>
    <w:rsid w:val="004F4B81"/>
    <w:rsid w:val="004F5C2E"/>
    <w:rsid w:val="004F5C83"/>
    <w:rsid w:val="004F674B"/>
    <w:rsid w:val="004F70E8"/>
    <w:rsid w:val="004F7818"/>
    <w:rsid w:val="00500308"/>
    <w:rsid w:val="0050054C"/>
    <w:rsid w:val="00500F76"/>
    <w:rsid w:val="0050133E"/>
    <w:rsid w:val="005015A4"/>
    <w:rsid w:val="0050174D"/>
    <w:rsid w:val="005031BB"/>
    <w:rsid w:val="005035DB"/>
    <w:rsid w:val="00503DDA"/>
    <w:rsid w:val="0050787B"/>
    <w:rsid w:val="00510508"/>
    <w:rsid w:val="00512874"/>
    <w:rsid w:val="0051291D"/>
    <w:rsid w:val="00512C46"/>
    <w:rsid w:val="0051449C"/>
    <w:rsid w:val="005145D7"/>
    <w:rsid w:val="00515B3A"/>
    <w:rsid w:val="00516961"/>
    <w:rsid w:val="00516985"/>
    <w:rsid w:val="005205C5"/>
    <w:rsid w:val="0052202E"/>
    <w:rsid w:val="005223B1"/>
    <w:rsid w:val="00522665"/>
    <w:rsid w:val="0052339A"/>
    <w:rsid w:val="005239C4"/>
    <w:rsid w:val="005239FC"/>
    <w:rsid w:val="00523F8F"/>
    <w:rsid w:val="00523FF9"/>
    <w:rsid w:val="0052430C"/>
    <w:rsid w:val="005250BB"/>
    <w:rsid w:val="0052577E"/>
    <w:rsid w:val="005263FB"/>
    <w:rsid w:val="005265C7"/>
    <w:rsid w:val="00526807"/>
    <w:rsid w:val="00526B87"/>
    <w:rsid w:val="00526CD2"/>
    <w:rsid w:val="00527969"/>
    <w:rsid w:val="005306F0"/>
    <w:rsid w:val="00531002"/>
    <w:rsid w:val="0053168A"/>
    <w:rsid w:val="00532994"/>
    <w:rsid w:val="00532D22"/>
    <w:rsid w:val="00533462"/>
    <w:rsid w:val="00533622"/>
    <w:rsid w:val="00533A22"/>
    <w:rsid w:val="0053507C"/>
    <w:rsid w:val="005361D6"/>
    <w:rsid w:val="0053654A"/>
    <w:rsid w:val="0053743D"/>
    <w:rsid w:val="005377D5"/>
    <w:rsid w:val="00537DE9"/>
    <w:rsid w:val="00540230"/>
    <w:rsid w:val="0054255F"/>
    <w:rsid w:val="00542D41"/>
    <w:rsid w:val="005437BE"/>
    <w:rsid w:val="005447BA"/>
    <w:rsid w:val="00544A20"/>
    <w:rsid w:val="005453F2"/>
    <w:rsid w:val="00546634"/>
    <w:rsid w:val="00546AA4"/>
    <w:rsid w:val="00546B75"/>
    <w:rsid w:val="00547474"/>
    <w:rsid w:val="00547716"/>
    <w:rsid w:val="00550435"/>
    <w:rsid w:val="005509E9"/>
    <w:rsid w:val="005517AB"/>
    <w:rsid w:val="0055235D"/>
    <w:rsid w:val="005523F0"/>
    <w:rsid w:val="00552A38"/>
    <w:rsid w:val="00552BBF"/>
    <w:rsid w:val="00552F25"/>
    <w:rsid w:val="00553B03"/>
    <w:rsid w:val="00554CC1"/>
    <w:rsid w:val="00555068"/>
    <w:rsid w:val="005551D8"/>
    <w:rsid w:val="005553ED"/>
    <w:rsid w:val="00555BCD"/>
    <w:rsid w:val="00555DF5"/>
    <w:rsid w:val="00556642"/>
    <w:rsid w:val="00556743"/>
    <w:rsid w:val="0055684C"/>
    <w:rsid w:val="00556B10"/>
    <w:rsid w:val="00560618"/>
    <w:rsid w:val="00560926"/>
    <w:rsid w:val="00560ADA"/>
    <w:rsid w:val="00560BED"/>
    <w:rsid w:val="00561070"/>
    <w:rsid w:val="00561254"/>
    <w:rsid w:val="00561F69"/>
    <w:rsid w:val="00562965"/>
    <w:rsid w:val="00563E20"/>
    <w:rsid w:val="00566DE0"/>
    <w:rsid w:val="00566E50"/>
    <w:rsid w:val="00566E9A"/>
    <w:rsid w:val="005670FF"/>
    <w:rsid w:val="00567927"/>
    <w:rsid w:val="005679A3"/>
    <w:rsid w:val="00570072"/>
    <w:rsid w:val="0057052C"/>
    <w:rsid w:val="00571B97"/>
    <w:rsid w:val="00572107"/>
    <w:rsid w:val="00572652"/>
    <w:rsid w:val="00572F6E"/>
    <w:rsid w:val="005737CB"/>
    <w:rsid w:val="00574447"/>
    <w:rsid w:val="00574DE2"/>
    <w:rsid w:val="00575E9E"/>
    <w:rsid w:val="0057718B"/>
    <w:rsid w:val="00577232"/>
    <w:rsid w:val="00577834"/>
    <w:rsid w:val="00580215"/>
    <w:rsid w:val="0058123D"/>
    <w:rsid w:val="00583E96"/>
    <w:rsid w:val="0058405E"/>
    <w:rsid w:val="00584101"/>
    <w:rsid w:val="005847DE"/>
    <w:rsid w:val="0058531C"/>
    <w:rsid w:val="005860BE"/>
    <w:rsid w:val="0058665E"/>
    <w:rsid w:val="00587212"/>
    <w:rsid w:val="00587372"/>
    <w:rsid w:val="005874FD"/>
    <w:rsid w:val="0058799F"/>
    <w:rsid w:val="00590528"/>
    <w:rsid w:val="00590B77"/>
    <w:rsid w:val="00591789"/>
    <w:rsid w:val="00591BB9"/>
    <w:rsid w:val="00591FF4"/>
    <w:rsid w:val="00592850"/>
    <w:rsid w:val="00592A02"/>
    <w:rsid w:val="0059419A"/>
    <w:rsid w:val="005964BD"/>
    <w:rsid w:val="00596687"/>
    <w:rsid w:val="00596A59"/>
    <w:rsid w:val="0059722C"/>
    <w:rsid w:val="00597AD6"/>
    <w:rsid w:val="005A03AA"/>
    <w:rsid w:val="005A0C75"/>
    <w:rsid w:val="005A1404"/>
    <w:rsid w:val="005A1538"/>
    <w:rsid w:val="005A1AB3"/>
    <w:rsid w:val="005A2429"/>
    <w:rsid w:val="005A33A7"/>
    <w:rsid w:val="005A5C3C"/>
    <w:rsid w:val="005A5D57"/>
    <w:rsid w:val="005A5FF7"/>
    <w:rsid w:val="005A6004"/>
    <w:rsid w:val="005A6128"/>
    <w:rsid w:val="005A64FA"/>
    <w:rsid w:val="005A6AFC"/>
    <w:rsid w:val="005A7DB5"/>
    <w:rsid w:val="005B091D"/>
    <w:rsid w:val="005B2483"/>
    <w:rsid w:val="005B281C"/>
    <w:rsid w:val="005B293E"/>
    <w:rsid w:val="005B3D5C"/>
    <w:rsid w:val="005B50CE"/>
    <w:rsid w:val="005B549A"/>
    <w:rsid w:val="005B5CE0"/>
    <w:rsid w:val="005B68DF"/>
    <w:rsid w:val="005B7818"/>
    <w:rsid w:val="005C109A"/>
    <w:rsid w:val="005C1742"/>
    <w:rsid w:val="005C1C44"/>
    <w:rsid w:val="005C2319"/>
    <w:rsid w:val="005C2484"/>
    <w:rsid w:val="005C4D9E"/>
    <w:rsid w:val="005C4DCF"/>
    <w:rsid w:val="005C500B"/>
    <w:rsid w:val="005C77E0"/>
    <w:rsid w:val="005C7984"/>
    <w:rsid w:val="005C7E39"/>
    <w:rsid w:val="005C7FCB"/>
    <w:rsid w:val="005D010E"/>
    <w:rsid w:val="005D063B"/>
    <w:rsid w:val="005D11B2"/>
    <w:rsid w:val="005D11B5"/>
    <w:rsid w:val="005D1B10"/>
    <w:rsid w:val="005D2042"/>
    <w:rsid w:val="005D279A"/>
    <w:rsid w:val="005D3032"/>
    <w:rsid w:val="005D72BF"/>
    <w:rsid w:val="005D75CC"/>
    <w:rsid w:val="005D7850"/>
    <w:rsid w:val="005E06A0"/>
    <w:rsid w:val="005E0897"/>
    <w:rsid w:val="005E0B58"/>
    <w:rsid w:val="005E0D45"/>
    <w:rsid w:val="005E282E"/>
    <w:rsid w:val="005E43F7"/>
    <w:rsid w:val="005E4A21"/>
    <w:rsid w:val="005E5AD9"/>
    <w:rsid w:val="005E5E0E"/>
    <w:rsid w:val="005E7918"/>
    <w:rsid w:val="005E79DB"/>
    <w:rsid w:val="005F125A"/>
    <w:rsid w:val="005F24E6"/>
    <w:rsid w:val="005F39AC"/>
    <w:rsid w:val="005F4622"/>
    <w:rsid w:val="005F4768"/>
    <w:rsid w:val="005F479C"/>
    <w:rsid w:val="005F55B0"/>
    <w:rsid w:val="005F6369"/>
    <w:rsid w:val="005F7795"/>
    <w:rsid w:val="005F7A71"/>
    <w:rsid w:val="00600073"/>
    <w:rsid w:val="00601FAD"/>
    <w:rsid w:val="00602723"/>
    <w:rsid w:val="00602C27"/>
    <w:rsid w:val="00602FF2"/>
    <w:rsid w:val="0060330E"/>
    <w:rsid w:val="00604A89"/>
    <w:rsid w:val="0060511F"/>
    <w:rsid w:val="006052D8"/>
    <w:rsid w:val="00605509"/>
    <w:rsid w:val="0060599C"/>
    <w:rsid w:val="00605B32"/>
    <w:rsid w:val="00606134"/>
    <w:rsid w:val="00606461"/>
    <w:rsid w:val="00606754"/>
    <w:rsid w:val="006067BA"/>
    <w:rsid w:val="00606E46"/>
    <w:rsid w:val="0060703C"/>
    <w:rsid w:val="00607084"/>
    <w:rsid w:val="00607168"/>
    <w:rsid w:val="00607611"/>
    <w:rsid w:val="00607803"/>
    <w:rsid w:val="00607D55"/>
    <w:rsid w:val="00611311"/>
    <w:rsid w:val="00611369"/>
    <w:rsid w:val="006128CD"/>
    <w:rsid w:val="00612DD8"/>
    <w:rsid w:val="00614170"/>
    <w:rsid w:val="00614B3C"/>
    <w:rsid w:val="00614B79"/>
    <w:rsid w:val="00615E69"/>
    <w:rsid w:val="00622B09"/>
    <w:rsid w:val="00623187"/>
    <w:rsid w:val="00624211"/>
    <w:rsid w:val="00624363"/>
    <w:rsid w:val="00624882"/>
    <w:rsid w:val="00624ACF"/>
    <w:rsid w:val="00624F3B"/>
    <w:rsid w:val="00625BED"/>
    <w:rsid w:val="00625F6D"/>
    <w:rsid w:val="00627489"/>
    <w:rsid w:val="0062765B"/>
    <w:rsid w:val="00627CFF"/>
    <w:rsid w:val="006303E5"/>
    <w:rsid w:val="00631BF8"/>
    <w:rsid w:val="00633348"/>
    <w:rsid w:val="006335CE"/>
    <w:rsid w:val="0063418D"/>
    <w:rsid w:val="00634554"/>
    <w:rsid w:val="00634730"/>
    <w:rsid w:val="0063533D"/>
    <w:rsid w:val="006353D7"/>
    <w:rsid w:val="00635C3B"/>
    <w:rsid w:val="00635CAC"/>
    <w:rsid w:val="0063635B"/>
    <w:rsid w:val="0063701C"/>
    <w:rsid w:val="0063758C"/>
    <w:rsid w:val="006409EF"/>
    <w:rsid w:val="0064141F"/>
    <w:rsid w:val="0064158F"/>
    <w:rsid w:val="0064172E"/>
    <w:rsid w:val="00642974"/>
    <w:rsid w:val="006442A3"/>
    <w:rsid w:val="00644552"/>
    <w:rsid w:val="006445D9"/>
    <w:rsid w:val="00644E1D"/>
    <w:rsid w:val="006456E6"/>
    <w:rsid w:val="00645E61"/>
    <w:rsid w:val="0064609E"/>
    <w:rsid w:val="00650041"/>
    <w:rsid w:val="0065050C"/>
    <w:rsid w:val="006509F6"/>
    <w:rsid w:val="00650B6A"/>
    <w:rsid w:val="006518ED"/>
    <w:rsid w:val="00652270"/>
    <w:rsid w:val="00652406"/>
    <w:rsid w:val="00654376"/>
    <w:rsid w:val="006547F3"/>
    <w:rsid w:val="00654984"/>
    <w:rsid w:val="00654CB7"/>
    <w:rsid w:val="006555A6"/>
    <w:rsid w:val="006559F4"/>
    <w:rsid w:val="00655D55"/>
    <w:rsid w:val="00655E73"/>
    <w:rsid w:val="00656186"/>
    <w:rsid w:val="00656566"/>
    <w:rsid w:val="00656604"/>
    <w:rsid w:val="00656BE4"/>
    <w:rsid w:val="00656F04"/>
    <w:rsid w:val="00661313"/>
    <w:rsid w:val="00662273"/>
    <w:rsid w:val="00662437"/>
    <w:rsid w:val="00662736"/>
    <w:rsid w:val="00663DAE"/>
    <w:rsid w:val="00663FBD"/>
    <w:rsid w:val="00665006"/>
    <w:rsid w:val="00665480"/>
    <w:rsid w:val="006658E9"/>
    <w:rsid w:val="00665FFE"/>
    <w:rsid w:val="006668F2"/>
    <w:rsid w:val="006670DA"/>
    <w:rsid w:val="006674A5"/>
    <w:rsid w:val="00667F5D"/>
    <w:rsid w:val="006700A8"/>
    <w:rsid w:val="00670B6D"/>
    <w:rsid w:val="00670DA3"/>
    <w:rsid w:val="0067103E"/>
    <w:rsid w:val="006710CA"/>
    <w:rsid w:val="00671741"/>
    <w:rsid w:val="0067187C"/>
    <w:rsid w:val="00672031"/>
    <w:rsid w:val="006722F7"/>
    <w:rsid w:val="00673768"/>
    <w:rsid w:val="00675FDA"/>
    <w:rsid w:val="00676179"/>
    <w:rsid w:val="00676888"/>
    <w:rsid w:val="006775AB"/>
    <w:rsid w:val="00677643"/>
    <w:rsid w:val="00677BA1"/>
    <w:rsid w:val="00680987"/>
    <w:rsid w:val="00681951"/>
    <w:rsid w:val="006821E9"/>
    <w:rsid w:val="00683BA5"/>
    <w:rsid w:val="00683DE1"/>
    <w:rsid w:val="006845A5"/>
    <w:rsid w:val="00684676"/>
    <w:rsid w:val="006847C9"/>
    <w:rsid w:val="00685286"/>
    <w:rsid w:val="006857A8"/>
    <w:rsid w:val="00686BDE"/>
    <w:rsid w:val="0068718F"/>
    <w:rsid w:val="00687C32"/>
    <w:rsid w:val="006902E5"/>
    <w:rsid w:val="00690593"/>
    <w:rsid w:val="0069200E"/>
    <w:rsid w:val="00694CFD"/>
    <w:rsid w:val="00694D57"/>
    <w:rsid w:val="00695773"/>
    <w:rsid w:val="00695B2C"/>
    <w:rsid w:val="00695B61"/>
    <w:rsid w:val="00695BCA"/>
    <w:rsid w:val="00696030"/>
    <w:rsid w:val="00697B81"/>
    <w:rsid w:val="00697D58"/>
    <w:rsid w:val="00697E5C"/>
    <w:rsid w:val="00697E6A"/>
    <w:rsid w:val="006A0611"/>
    <w:rsid w:val="006A0BEC"/>
    <w:rsid w:val="006A0CD4"/>
    <w:rsid w:val="006A13CE"/>
    <w:rsid w:val="006A18B3"/>
    <w:rsid w:val="006A33B1"/>
    <w:rsid w:val="006A4184"/>
    <w:rsid w:val="006A5DA4"/>
    <w:rsid w:val="006A6474"/>
    <w:rsid w:val="006B0646"/>
    <w:rsid w:val="006B0ACE"/>
    <w:rsid w:val="006B0D1A"/>
    <w:rsid w:val="006B1CBB"/>
    <w:rsid w:val="006B2C94"/>
    <w:rsid w:val="006B4169"/>
    <w:rsid w:val="006B4A4A"/>
    <w:rsid w:val="006B51F7"/>
    <w:rsid w:val="006B6319"/>
    <w:rsid w:val="006B6E86"/>
    <w:rsid w:val="006B741C"/>
    <w:rsid w:val="006C0CA9"/>
    <w:rsid w:val="006C0CF5"/>
    <w:rsid w:val="006C0D90"/>
    <w:rsid w:val="006C13C4"/>
    <w:rsid w:val="006C253E"/>
    <w:rsid w:val="006C3BC3"/>
    <w:rsid w:val="006C43ED"/>
    <w:rsid w:val="006C55C7"/>
    <w:rsid w:val="006C5E23"/>
    <w:rsid w:val="006C601C"/>
    <w:rsid w:val="006C681E"/>
    <w:rsid w:val="006C7BA8"/>
    <w:rsid w:val="006D0A3F"/>
    <w:rsid w:val="006D0D46"/>
    <w:rsid w:val="006D2D2F"/>
    <w:rsid w:val="006D2F99"/>
    <w:rsid w:val="006D31F1"/>
    <w:rsid w:val="006D3739"/>
    <w:rsid w:val="006D3745"/>
    <w:rsid w:val="006D42B1"/>
    <w:rsid w:val="006D4747"/>
    <w:rsid w:val="006D4B11"/>
    <w:rsid w:val="006D4C01"/>
    <w:rsid w:val="006D50FA"/>
    <w:rsid w:val="006D6DA6"/>
    <w:rsid w:val="006D6DB7"/>
    <w:rsid w:val="006D7B43"/>
    <w:rsid w:val="006E0100"/>
    <w:rsid w:val="006E167C"/>
    <w:rsid w:val="006E1786"/>
    <w:rsid w:val="006E17CC"/>
    <w:rsid w:val="006E22E0"/>
    <w:rsid w:val="006E3233"/>
    <w:rsid w:val="006E3AE3"/>
    <w:rsid w:val="006E4726"/>
    <w:rsid w:val="006E5530"/>
    <w:rsid w:val="006E5555"/>
    <w:rsid w:val="006E70C7"/>
    <w:rsid w:val="006F00D1"/>
    <w:rsid w:val="006F0DF2"/>
    <w:rsid w:val="006F0ED6"/>
    <w:rsid w:val="006F30C6"/>
    <w:rsid w:val="006F3F15"/>
    <w:rsid w:val="006F5644"/>
    <w:rsid w:val="006F6FBC"/>
    <w:rsid w:val="006F7309"/>
    <w:rsid w:val="00700648"/>
    <w:rsid w:val="007036AB"/>
    <w:rsid w:val="00704FC6"/>
    <w:rsid w:val="0070510A"/>
    <w:rsid w:val="007056CC"/>
    <w:rsid w:val="0070580C"/>
    <w:rsid w:val="00705811"/>
    <w:rsid w:val="00705D8E"/>
    <w:rsid w:val="00706F92"/>
    <w:rsid w:val="00707312"/>
    <w:rsid w:val="00710488"/>
    <w:rsid w:val="0071077B"/>
    <w:rsid w:val="00711BCE"/>
    <w:rsid w:val="00712591"/>
    <w:rsid w:val="00713817"/>
    <w:rsid w:val="00713876"/>
    <w:rsid w:val="00714E88"/>
    <w:rsid w:val="00714FEB"/>
    <w:rsid w:val="007167FF"/>
    <w:rsid w:val="00716C5F"/>
    <w:rsid w:val="00716CC0"/>
    <w:rsid w:val="00717304"/>
    <w:rsid w:val="007176AD"/>
    <w:rsid w:val="00720489"/>
    <w:rsid w:val="00720913"/>
    <w:rsid w:val="00721BAA"/>
    <w:rsid w:val="00721C00"/>
    <w:rsid w:val="007223AA"/>
    <w:rsid w:val="0072266E"/>
    <w:rsid w:val="00722BCD"/>
    <w:rsid w:val="00723419"/>
    <w:rsid w:val="00723813"/>
    <w:rsid w:val="0072406C"/>
    <w:rsid w:val="00725863"/>
    <w:rsid w:val="00726382"/>
    <w:rsid w:val="007266B0"/>
    <w:rsid w:val="00726E84"/>
    <w:rsid w:val="0072736A"/>
    <w:rsid w:val="00727DEF"/>
    <w:rsid w:val="00730DE4"/>
    <w:rsid w:val="00731336"/>
    <w:rsid w:val="00732C46"/>
    <w:rsid w:val="00733602"/>
    <w:rsid w:val="00733684"/>
    <w:rsid w:val="0073373B"/>
    <w:rsid w:val="00734B25"/>
    <w:rsid w:val="0073630F"/>
    <w:rsid w:val="00736BEF"/>
    <w:rsid w:val="00736D06"/>
    <w:rsid w:val="0074031D"/>
    <w:rsid w:val="00741480"/>
    <w:rsid w:val="00742149"/>
    <w:rsid w:val="00742182"/>
    <w:rsid w:val="007421BF"/>
    <w:rsid w:val="00742DCE"/>
    <w:rsid w:val="00744077"/>
    <w:rsid w:val="00744115"/>
    <w:rsid w:val="007441D9"/>
    <w:rsid w:val="007448AE"/>
    <w:rsid w:val="007461A7"/>
    <w:rsid w:val="0075083A"/>
    <w:rsid w:val="00750A95"/>
    <w:rsid w:val="00750CC7"/>
    <w:rsid w:val="00751C71"/>
    <w:rsid w:val="00751CBF"/>
    <w:rsid w:val="00752048"/>
    <w:rsid w:val="007524AB"/>
    <w:rsid w:val="007529A1"/>
    <w:rsid w:val="00752DBE"/>
    <w:rsid w:val="00753D82"/>
    <w:rsid w:val="00754810"/>
    <w:rsid w:val="0075535C"/>
    <w:rsid w:val="007558EF"/>
    <w:rsid w:val="00757D47"/>
    <w:rsid w:val="0076028B"/>
    <w:rsid w:val="007610C3"/>
    <w:rsid w:val="00761254"/>
    <w:rsid w:val="0076126B"/>
    <w:rsid w:val="00761A9F"/>
    <w:rsid w:val="00763B81"/>
    <w:rsid w:val="0076590C"/>
    <w:rsid w:val="00767710"/>
    <w:rsid w:val="00767B27"/>
    <w:rsid w:val="00767B3D"/>
    <w:rsid w:val="007707EC"/>
    <w:rsid w:val="00773200"/>
    <w:rsid w:val="00773BAC"/>
    <w:rsid w:val="00773E90"/>
    <w:rsid w:val="007744C2"/>
    <w:rsid w:val="007745E2"/>
    <w:rsid w:val="0077477A"/>
    <w:rsid w:val="007757DC"/>
    <w:rsid w:val="007758D9"/>
    <w:rsid w:val="0078020D"/>
    <w:rsid w:val="00781C3E"/>
    <w:rsid w:val="007826DE"/>
    <w:rsid w:val="00782C2D"/>
    <w:rsid w:val="0078335A"/>
    <w:rsid w:val="007841E9"/>
    <w:rsid w:val="007856FE"/>
    <w:rsid w:val="00787259"/>
    <w:rsid w:val="007877AA"/>
    <w:rsid w:val="00787FD7"/>
    <w:rsid w:val="007904D0"/>
    <w:rsid w:val="00792BE1"/>
    <w:rsid w:val="00793667"/>
    <w:rsid w:val="00794690"/>
    <w:rsid w:val="00794924"/>
    <w:rsid w:val="00794AAB"/>
    <w:rsid w:val="007953FF"/>
    <w:rsid w:val="007975EE"/>
    <w:rsid w:val="00797BC9"/>
    <w:rsid w:val="007A0466"/>
    <w:rsid w:val="007A05EB"/>
    <w:rsid w:val="007A1284"/>
    <w:rsid w:val="007A1FCC"/>
    <w:rsid w:val="007A24E7"/>
    <w:rsid w:val="007A3F1B"/>
    <w:rsid w:val="007A47B6"/>
    <w:rsid w:val="007A5028"/>
    <w:rsid w:val="007A54C6"/>
    <w:rsid w:val="007A5CA9"/>
    <w:rsid w:val="007A727D"/>
    <w:rsid w:val="007A7F88"/>
    <w:rsid w:val="007B00AC"/>
    <w:rsid w:val="007B0C56"/>
    <w:rsid w:val="007B0EED"/>
    <w:rsid w:val="007B1564"/>
    <w:rsid w:val="007B1635"/>
    <w:rsid w:val="007B16AB"/>
    <w:rsid w:val="007B1B10"/>
    <w:rsid w:val="007B2167"/>
    <w:rsid w:val="007B2FB5"/>
    <w:rsid w:val="007B39A1"/>
    <w:rsid w:val="007B3BA8"/>
    <w:rsid w:val="007B3BE8"/>
    <w:rsid w:val="007B3FC0"/>
    <w:rsid w:val="007B4BFD"/>
    <w:rsid w:val="007B54DA"/>
    <w:rsid w:val="007B57B3"/>
    <w:rsid w:val="007B5840"/>
    <w:rsid w:val="007B678B"/>
    <w:rsid w:val="007B6C44"/>
    <w:rsid w:val="007C10F5"/>
    <w:rsid w:val="007C130C"/>
    <w:rsid w:val="007C1345"/>
    <w:rsid w:val="007C2C78"/>
    <w:rsid w:val="007C4F27"/>
    <w:rsid w:val="007D019B"/>
    <w:rsid w:val="007D01A6"/>
    <w:rsid w:val="007D0D14"/>
    <w:rsid w:val="007D1559"/>
    <w:rsid w:val="007D19A5"/>
    <w:rsid w:val="007D269B"/>
    <w:rsid w:val="007D2AA4"/>
    <w:rsid w:val="007D326D"/>
    <w:rsid w:val="007D3957"/>
    <w:rsid w:val="007D415A"/>
    <w:rsid w:val="007D4989"/>
    <w:rsid w:val="007D4FCB"/>
    <w:rsid w:val="007D501A"/>
    <w:rsid w:val="007D7152"/>
    <w:rsid w:val="007D78D9"/>
    <w:rsid w:val="007D7C76"/>
    <w:rsid w:val="007E08FD"/>
    <w:rsid w:val="007E1BFB"/>
    <w:rsid w:val="007E2A39"/>
    <w:rsid w:val="007E3A4B"/>
    <w:rsid w:val="007E6074"/>
    <w:rsid w:val="007E66C9"/>
    <w:rsid w:val="007E6DF6"/>
    <w:rsid w:val="007F1FFF"/>
    <w:rsid w:val="007F2E46"/>
    <w:rsid w:val="007F3370"/>
    <w:rsid w:val="007F5C7E"/>
    <w:rsid w:val="007F5E20"/>
    <w:rsid w:val="007F619E"/>
    <w:rsid w:val="007F62D5"/>
    <w:rsid w:val="007F6D12"/>
    <w:rsid w:val="007F6FD9"/>
    <w:rsid w:val="007F773B"/>
    <w:rsid w:val="007F7902"/>
    <w:rsid w:val="008001A6"/>
    <w:rsid w:val="00800852"/>
    <w:rsid w:val="008017E6"/>
    <w:rsid w:val="00801826"/>
    <w:rsid w:val="00801F4D"/>
    <w:rsid w:val="00802176"/>
    <w:rsid w:val="00802404"/>
    <w:rsid w:val="008028CF"/>
    <w:rsid w:val="00802A6D"/>
    <w:rsid w:val="00803F8F"/>
    <w:rsid w:val="00804333"/>
    <w:rsid w:val="00806E91"/>
    <w:rsid w:val="00807105"/>
    <w:rsid w:val="00807868"/>
    <w:rsid w:val="00810223"/>
    <w:rsid w:val="00810CCE"/>
    <w:rsid w:val="00811E61"/>
    <w:rsid w:val="00812376"/>
    <w:rsid w:val="008129D0"/>
    <w:rsid w:val="008135FE"/>
    <w:rsid w:val="00814886"/>
    <w:rsid w:val="008148BC"/>
    <w:rsid w:val="00814EBE"/>
    <w:rsid w:val="00817F71"/>
    <w:rsid w:val="008208FB"/>
    <w:rsid w:val="00821C67"/>
    <w:rsid w:val="0082347B"/>
    <w:rsid w:val="00823ADB"/>
    <w:rsid w:val="00824415"/>
    <w:rsid w:val="0082480B"/>
    <w:rsid w:val="0082518A"/>
    <w:rsid w:val="00825755"/>
    <w:rsid w:val="00827C4B"/>
    <w:rsid w:val="00831EA2"/>
    <w:rsid w:val="00831F08"/>
    <w:rsid w:val="0083240B"/>
    <w:rsid w:val="00832BAE"/>
    <w:rsid w:val="00833B5F"/>
    <w:rsid w:val="00835472"/>
    <w:rsid w:val="00835E69"/>
    <w:rsid w:val="00835F41"/>
    <w:rsid w:val="0083687D"/>
    <w:rsid w:val="00836A90"/>
    <w:rsid w:val="00836C1C"/>
    <w:rsid w:val="00836D54"/>
    <w:rsid w:val="00837088"/>
    <w:rsid w:val="00837E9F"/>
    <w:rsid w:val="008408B6"/>
    <w:rsid w:val="00840BBA"/>
    <w:rsid w:val="0084188A"/>
    <w:rsid w:val="00842432"/>
    <w:rsid w:val="00843931"/>
    <w:rsid w:val="0084561F"/>
    <w:rsid w:val="008456BB"/>
    <w:rsid w:val="00846114"/>
    <w:rsid w:val="0084622D"/>
    <w:rsid w:val="008464EC"/>
    <w:rsid w:val="00846B40"/>
    <w:rsid w:val="00846E5E"/>
    <w:rsid w:val="00846EE5"/>
    <w:rsid w:val="0084736A"/>
    <w:rsid w:val="00847C8E"/>
    <w:rsid w:val="0085097A"/>
    <w:rsid w:val="00851AE1"/>
    <w:rsid w:val="008521E2"/>
    <w:rsid w:val="00852789"/>
    <w:rsid w:val="008532A6"/>
    <w:rsid w:val="00853BD8"/>
    <w:rsid w:val="00853BF5"/>
    <w:rsid w:val="00854576"/>
    <w:rsid w:val="00854AC9"/>
    <w:rsid w:val="00854B99"/>
    <w:rsid w:val="00855B10"/>
    <w:rsid w:val="00855E93"/>
    <w:rsid w:val="00856071"/>
    <w:rsid w:val="0085647D"/>
    <w:rsid w:val="00856DAC"/>
    <w:rsid w:val="00856EFB"/>
    <w:rsid w:val="008574F3"/>
    <w:rsid w:val="00857A61"/>
    <w:rsid w:val="00857D70"/>
    <w:rsid w:val="00860DC4"/>
    <w:rsid w:val="00860E4F"/>
    <w:rsid w:val="008615C6"/>
    <w:rsid w:val="00861930"/>
    <w:rsid w:val="00861AB3"/>
    <w:rsid w:val="0086288D"/>
    <w:rsid w:val="00863447"/>
    <w:rsid w:val="008634AA"/>
    <w:rsid w:val="0086397F"/>
    <w:rsid w:val="00864EB7"/>
    <w:rsid w:val="00865087"/>
    <w:rsid w:val="008651C6"/>
    <w:rsid w:val="00865AD6"/>
    <w:rsid w:val="00865CC7"/>
    <w:rsid w:val="008661ED"/>
    <w:rsid w:val="008667B4"/>
    <w:rsid w:val="0086722F"/>
    <w:rsid w:val="0086793D"/>
    <w:rsid w:val="00871AD2"/>
    <w:rsid w:val="00871F9F"/>
    <w:rsid w:val="008725FF"/>
    <w:rsid w:val="00872E52"/>
    <w:rsid w:val="00872E9D"/>
    <w:rsid w:val="00873AD9"/>
    <w:rsid w:val="00875411"/>
    <w:rsid w:val="00875481"/>
    <w:rsid w:val="00875A1E"/>
    <w:rsid w:val="00875B93"/>
    <w:rsid w:val="00876388"/>
    <w:rsid w:val="008766FC"/>
    <w:rsid w:val="00877BBF"/>
    <w:rsid w:val="00877CDA"/>
    <w:rsid w:val="008805BB"/>
    <w:rsid w:val="00880D26"/>
    <w:rsid w:val="00881319"/>
    <w:rsid w:val="0088166D"/>
    <w:rsid w:val="00881691"/>
    <w:rsid w:val="00881EBD"/>
    <w:rsid w:val="0088210B"/>
    <w:rsid w:val="0088247B"/>
    <w:rsid w:val="008828BE"/>
    <w:rsid w:val="0088374D"/>
    <w:rsid w:val="008839FB"/>
    <w:rsid w:val="00883B4E"/>
    <w:rsid w:val="00884027"/>
    <w:rsid w:val="008840EE"/>
    <w:rsid w:val="008857CE"/>
    <w:rsid w:val="00886227"/>
    <w:rsid w:val="00886849"/>
    <w:rsid w:val="00887A18"/>
    <w:rsid w:val="00890EBF"/>
    <w:rsid w:val="0089100B"/>
    <w:rsid w:val="00891154"/>
    <w:rsid w:val="008912B7"/>
    <w:rsid w:val="0089150E"/>
    <w:rsid w:val="00891E0C"/>
    <w:rsid w:val="00892323"/>
    <w:rsid w:val="0089239A"/>
    <w:rsid w:val="00892A40"/>
    <w:rsid w:val="00892BB2"/>
    <w:rsid w:val="008936E6"/>
    <w:rsid w:val="0089418D"/>
    <w:rsid w:val="0089704A"/>
    <w:rsid w:val="008971C9"/>
    <w:rsid w:val="00897741"/>
    <w:rsid w:val="00897E67"/>
    <w:rsid w:val="008A0004"/>
    <w:rsid w:val="008A0488"/>
    <w:rsid w:val="008A06CB"/>
    <w:rsid w:val="008A0B6B"/>
    <w:rsid w:val="008A10C1"/>
    <w:rsid w:val="008A12AE"/>
    <w:rsid w:val="008A150C"/>
    <w:rsid w:val="008A2E23"/>
    <w:rsid w:val="008A3F06"/>
    <w:rsid w:val="008A42F1"/>
    <w:rsid w:val="008A47CE"/>
    <w:rsid w:val="008A4AA2"/>
    <w:rsid w:val="008A7308"/>
    <w:rsid w:val="008A78DA"/>
    <w:rsid w:val="008A7CB1"/>
    <w:rsid w:val="008B09CB"/>
    <w:rsid w:val="008B0A66"/>
    <w:rsid w:val="008B144B"/>
    <w:rsid w:val="008B1A7D"/>
    <w:rsid w:val="008B1E44"/>
    <w:rsid w:val="008B2321"/>
    <w:rsid w:val="008B2D6A"/>
    <w:rsid w:val="008B320A"/>
    <w:rsid w:val="008B385E"/>
    <w:rsid w:val="008B3C5C"/>
    <w:rsid w:val="008B4F26"/>
    <w:rsid w:val="008B6715"/>
    <w:rsid w:val="008B6A32"/>
    <w:rsid w:val="008B6D56"/>
    <w:rsid w:val="008B783C"/>
    <w:rsid w:val="008C1553"/>
    <w:rsid w:val="008C1E8E"/>
    <w:rsid w:val="008C312E"/>
    <w:rsid w:val="008C39B9"/>
    <w:rsid w:val="008C3BB9"/>
    <w:rsid w:val="008C3E8A"/>
    <w:rsid w:val="008C3EFB"/>
    <w:rsid w:val="008C53F4"/>
    <w:rsid w:val="008C596D"/>
    <w:rsid w:val="008C78BD"/>
    <w:rsid w:val="008D0053"/>
    <w:rsid w:val="008D11D7"/>
    <w:rsid w:val="008D145A"/>
    <w:rsid w:val="008D1D09"/>
    <w:rsid w:val="008D1D55"/>
    <w:rsid w:val="008D30A2"/>
    <w:rsid w:val="008D426E"/>
    <w:rsid w:val="008D45EE"/>
    <w:rsid w:val="008D4CE7"/>
    <w:rsid w:val="008D5BFE"/>
    <w:rsid w:val="008D7FAE"/>
    <w:rsid w:val="008E00EF"/>
    <w:rsid w:val="008E0A6A"/>
    <w:rsid w:val="008E0DAB"/>
    <w:rsid w:val="008E1119"/>
    <w:rsid w:val="008E1B08"/>
    <w:rsid w:val="008E1BEB"/>
    <w:rsid w:val="008E213A"/>
    <w:rsid w:val="008E296E"/>
    <w:rsid w:val="008E3343"/>
    <w:rsid w:val="008E3FFE"/>
    <w:rsid w:val="008E5987"/>
    <w:rsid w:val="008E5F57"/>
    <w:rsid w:val="008E6E51"/>
    <w:rsid w:val="008F0256"/>
    <w:rsid w:val="008F08F7"/>
    <w:rsid w:val="008F09F1"/>
    <w:rsid w:val="008F0B02"/>
    <w:rsid w:val="008F1233"/>
    <w:rsid w:val="008F3395"/>
    <w:rsid w:val="008F3D8F"/>
    <w:rsid w:val="008F4FC2"/>
    <w:rsid w:val="008F7F88"/>
    <w:rsid w:val="009002C3"/>
    <w:rsid w:val="00901F6A"/>
    <w:rsid w:val="009037E1"/>
    <w:rsid w:val="00903816"/>
    <w:rsid w:val="00904238"/>
    <w:rsid w:val="00904B93"/>
    <w:rsid w:val="0090541A"/>
    <w:rsid w:val="00906207"/>
    <w:rsid w:val="00906728"/>
    <w:rsid w:val="00906CED"/>
    <w:rsid w:val="00912311"/>
    <w:rsid w:val="00913505"/>
    <w:rsid w:val="00913D96"/>
    <w:rsid w:val="00914F86"/>
    <w:rsid w:val="009169DC"/>
    <w:rsid w:val="00916AFD"/>
    <w:rsid w:val="009171A9"/>
    <w:rsid w:val="0091739E"/>
    <w:rsid w:val="009178F3"/>
    <w:rsid w:val="009205B4"/>
    <w:rsid w:val="0092070F"/>
    <w:rsid w:val="009208BC"/>
    <w:rsid w:val="00921859"/>
    <w:rsid w:val="009234E3"/>
    <w:rsid w:val="0092371C"/>
    <w:rsid w:val="00923FA7"/>
    <w:rsid w:val="009243BA"/>
    <w:rsid w:val="00924AB2"/>
    <w:rsid w:val="00924D55"/>
    <w:rsid w:val="00924FA2"/>
    <w:rsid w:val="009259EE"/>
    <w:rsid w:val="00926340"/>
    <w:rsid w:val="00926766"/>
    <w:rsid w:val="009272CA"/>
    <w:rsid w:val="0093071C"/>
    <w:rsid w:val="009307AC"/>
    <w:rsid w:val="00930E7E"/>
    <w:rsid w:val="00931433"/>
    <w:rsid w:val="009325BF"/>
    <w:rsid w:val="00932845"/>
    <w:rsid w:val="00932F48"/>
    <w:rsid w:val="00933391"/>
    <w:rsid w:val="00933CAE"/>
    <w:rsid w:val="00934BA7"/>
    <w:rsid w:val="00934DBD"/>
    <w:rsid w:val="009353E8"/>
    <w:rsid w:val="00936765"/>
    <w:rsid w:val="00936CFF"/>
    <w:rsid w:val="00937A85"/>
    <w:rsid w:val="00940A58"/>
    <w:rsid w:val="00940A75"/>
    <w:rsid w:val="009426AB"/>
    <w:rsid w:val="00942C10"/>
    <w:rsid w:val="00943012"/>
    <w:rsid w:val="009433CC"/>
    <w:rsid w:val="00943BB8"/>
    <w:rsid w:val="00943C72"/>
    <w:rsid w:val="00943CC5"/>
    <w:rsid w:val="009443E6"/>
    <w:rsid w:val="00944B84"/>
    <w:rsid w:val="00944C86"/>
    <w:rsid w:val="00944D85"/>
    <w:rsid w:val="00944FD1"/>
    <w:rsid w:val="00946CB0"/>
    <w:rsid w:val="00946EEA"/>
    <w:rsid w:val="009471EA"/>
    <w:rsid w:val="009474C2"/>
    <w:rsid w:val="00947C94"/>
    <w:rsid w:val="00947CA2"/>
    <w:rsid w:val="00947FD7"/>
    <w:rsid w:val="009506FC"/>
    <w:rsid w:val="00950973"/>
    <w:rsid w:val="00951156"/>
    <w:rsid w:val="00951B91"/>
    <w:rsid w:val="00952651"/>
    <w:rsid w:val="00952A72"/>
    <w:rsid w:val="0095345F"/>
    <w:rsid w:val="00953B3E"/>
    <w:rsid w:val="00953E3A"/>
    <w:rsid w:val="00953F59"/>
    <w:rsid w:val="009543AB"/>
    <w:rsid w:val="0095457E"/>
    <w:rsid w:val="0095471A"/>
    <w:rsid w:val="0095525B"/>
    <w:rsid w:val="00955979"/>
    <w:rsid w:val="00955EAC"/>
    <w:rsid w:val="00956006"/>
    <w:rsid w:val="0095688F"/>
    <w:rsid w:val="00957641"/>
    <w:rsid w:val="00960627"/>
    <w:rsid w:val="00960638"/>
    <w:rsid w:val="0096077B"/>
    <w:rsid w:val="00960F36"/>
    <w:rsid w:val="009618BC"/>
    <w:rsid w:val="00961BC2"/>
    <w:rsid w:val="00963331"/>
    <w:rsid w:val="009635E8"/>
    <w:rsid w:val="009637E7"/>
    <w:rsid w:val="0096497B"/>
    <w:rsid w:val="00965980"/>
    <w:rsid w:val="00966FE7"/>
    <w:rsid w:val="00967504"/>
    <w:rsid w:val="0096754E"/>
    <w:rsid w:val="0097063F"/>
    <w:rsid w:val="009712CC"/>
    <w:rsid w:val="0097220D"/>
    <w:rsid w:val="00972893"/>
    <w:rsid w:val="00973353"/>
    <w:rsid w:val="00973D6F"/>
    <w:rsid w:val="00974676"/>
    <w:rsid w:val="0097492F"/>
    <w:rsid w:val="00975465"/>
    <w:rsid w:val="00975974"/>
    <w:rsid w:val="00975B4C"/>
    <w:rsid w:val="00975E64"/>
    <w:rsid w:val="009779AE"/>
    <w:rsid w:val="00977B9A"/>
    <w:rsid w:val="00980C62"/>
    <w:rsid w:val="0098115E"/>
    <w:rsid w:val="009817AC"/>
    <w:rsid w:val="00981911"/>
    <w:rsid w:val="00982684"/>
    <w:rsid w:val="00982B15"/>
    <w:rsid w:val="00982B27"/>
    <w:rsid w:val="00983179"/>
    <w:rsid w:val="0098366D"/>
    <w:rsid w:val="00983ACE"/>
    <w:rsid w:val="00983EC9"/>
    <w:rsid w:val="00984D3A"/>
    <w:rsid w:val="009855C5"/>
    <w:rsid w:val="00985EC0"/>
    <w:rsid w:val="00985F52"/>
    <w:rsid w:val="00986306"/>
    <w:rsid w:val="00986E93"/>
    <w:rsid w:val="00987691"/>
    <w:rsid w:val="00987D14"/>
    <w:rsid w:val="00987E91"/>
    <w:rsid w:val="009904D3"/>
    <w:rsid w:val="00990D26"/>
    <w:rsid w:val="009914E1"/>
    <w:rsid w:val="00991933"/>
    <w:rsid w:val="009922F6"/>
    <w:rsid w:val="009938A2"/>
    <w:rsid w:val="00993B5D"/>
    <w:rsid w:val="00993EFA"/>
    <w:rsid w:val="009950CC"/>
    <w:rsid w:val="00995EB2"/>
    <w:rsid w:val="00996BDF"/>
    <w:rsid w:val="0099742C"/>
    <w:rsid w:val="00997741"/>
    <w:rsid w:val="009977B8"/>
    <w:rsid w:val="00997B19"/>
    <w:rsid w:val="009A061D"/>
    <w:rsid w:val="009A110B"/>
    <w:rsid w:val="009A229D"/>
    <w:rsid w:val="009A2338"/>
    <w:rsid w:val="009A259E"/>
    <w:rsid w:val="009A2E58"/>
    <w:rsid w:val="009A2F95"/>
    <w:rsid w:val="009A3A3F"/>
    <w:rsid w:val="009A3C35"/>
    <w:rsid w:val="009A5894"/>
    <w:rsid w:val="009A6019"/>
    <w:rsid w:val="009A60F2"/>
    <w:rsid w:val="009A6E14"/>
    <w:rsid w:val="009A734A"/>
    <w:rsid w:val="009A76C8"/>
    <w:rsid w:val="009A7795"/>
    <w:rsid w:val="009A79F8"/>
    <w:rsid w:val="009A7FBB"/>
    <w:rsid w:val="009B038C"/>
    <w:rsid w:val="009B167F"/>
    <w:rsid w:val="009B2211"/>
    <w:rsid w:val="009B37D6"/>
    <w:rsid w:val="009B39F4"/>
    <w:rsid w:val="009B3F16"/>
    <w:rsid w:val="009B460C"/>
    <w:rsid w:val="009C03D4"/>
    <w:rsid w:val="009C192E"/>
    <w:rsid w:val="009C1E4B"/>
    <w:rsid w:val="009C1ED7"/>
    <w:rsid w:val="009C1F84"/>
    <w:rsid w:val="009C2131"/>
    <w:rsid w:val="009C2187"/>
    <w:rsid w:val="009C35C0"/>
    <w:rsid w:val="009C52C5"/>
    <w:rsid w:val="009C5397"/>
    <w:rsid w:val="009C5B02"/>
    <w:rsid w:val="009C5C3B"/>
    <w:rsid w:val="009C65EF"/>
    <w:rsid w:val="009C7777"/>
    <w:rsid w:val="009C7FC9"/>
    <w:rsid w:val="009D1359"/>
    <w:rsid w:val="009D190D"/>
    <w:rsid w:val="009D24E9"/>
    <w:rsid w:val="009D250B"/>
    <w:rsid w:val="009D3396"/>
    <w:rsid w:val="009D3CBA"/>
    <w:rsid w:val="009D4221"/>
    <w:rsid w:val="009D57D0"/>
    <w:rsid w:val="009E00FE"/>
    <w:rsid w:val="009E02C1"/>
    <w:rsid w:val="009E1CF0"/>
    <w:rsid w:val="009E2096"/>
    <w:rsid w:val="009E2F13"/>
    <w:rsid w:val="009E3994"/>
    <w:rsid w:val="009E4C5F"/>
    <w:rsid w:val="009E4DDB"/>
    <w:rsid w:val="009E513F"/>
    <w:rsid w:val="009E573A"/>
    <w:rsid w:val="009E6E5C"/>
    <w:rsid w:val="009E7268"/>
    <w:rsid w:val="009F0B19"/>
    <w:rsid w:val="009F1059"/>
    <w:rsid w:val="009F1FB5"/>
    <w:rsid w:val="009F2148"/>
    <w:rsid w:val="009F266F"/>
    <w:rsid w:val="009F2792"/>
    <w:rsid w:val="009F2980"/>
    <w:rsid w:val="009F2B4C"/>
    <w:rsid w:val="009F3A56"/>
    <w:rsid w:val="009F3D49"/>
    <w:rsid w:val="009F40DC"/>
    <w:rsid w:val="009F4CF0"/>
    <w:rsid w:val="009F4DF0"/>
    <w:rsid w:val="009F56D7"/>
    <w:rsid w:val="009F5922"/>
    <w:rsid w:val="009F6FC3"/>
    <w:rsid w:val="009F7A37"/>
    <w:rsid w:val="009F7C77"/>
    <w:rsid w:val="00A00433"/>
    <w:rsid w:val="00A0069C"/>
    <w:rsid w:val="00A016CB"/>
    <w:rsid w:val="00A019C6"/>
    <w:rsid w:val="00A023D4"/>
    <w:rsid w:val="00A0326D"/>
    <w:rsid w:val="00A049AD"/>
    <w:rsid w:val="00A04A0F"/>
    <w:rsid w:val="00A04C38"/>
    <w:rsid w:val="00A04C43"/>
    <w:rsid w:val="00A055ED"/>
    <w:rsid w:val="00A05B66"/>
    <w:rsid w:val="00A062EF"/>
    <w:rsid w:val="00A06383"/>
    <w:rsid w:val="00A06753"/>
    <w:rsid w:val="00A076C5"/>
    <w:rsid w:val="00A10E75"/>
    <w:rsid w:val="00A11EBD"/>
    <w:rsid w:val="00A12248"/>
    <w:rsid w:val="00A14E35"/>
    <w:rsid w:val="00A152EE"/>
    <w:rsid w:val="00A15638"/>
    <w:rsid w:val="00A1591D"/>
    <w:rsid w:val="00A15B72"/>
    <w:rsid w:val="00A17391"/>
    <w:rsid w:val="00A17F65"/>
    <w:rsid w:val="00A20518"/>
    <w:rsid w:val="00A207D2"/>
    <w:rsid w:val="00A20A11"/>
    <w:rsid w:val="00A21096"/>
    <w:rsid w:val="00A214B8"/>
    <w:rsid w:val="00A21715"/>
    <w:rsid w:val="00A21932"/>
    <w:rsid w:val="00A222F9"/>
    <w:rsid w:val="00A23364"/>
    <w:rsid w:val="00A254A6"/>
    <w:rsid w:val="00A25DE4"/>
    <w:rsid w:val="00A2658D"/>
    <w:rsid w:val="00A273F5"/>
    <w:rsid w:val="00A27796"/>
    <w:rsid w:val="00A27F2B"/>
    <w:rsid w:val="00A30125"/>
    <w:rsid w:val="00A3020A"/>
    <w:rsid w:val="00A30722"/>
    <w:rsid w:val="00A30E13"/>
    <w:rsid w:val="00A30E48"/>
    <w:rsid w:val="00A31C9B"/>
    <w:rsid w:val="00A31D55"/>
    <w:rsid w:val="00A31D83"/>
    <w:rsid w:val="00A31D93"/>
    <w:rsid w:val="00A320B9"/>
    <w:rsid w:val="00A320F2"/>
    <w:rsid w:val="00A32A09"/>
    <w:rsid w:val="00A32CA2"/>
    <w:rsid w:val="00A3329D"/>
    <w:rsid w:val="00A33D26"/>
    <w:rsid w:val="00A33E51"/>
    <w:rsid w:val="00A33FC9"/>
    <w:rsid w:val="00A3427F"/>
    <w:rsid w:val="00A344ED"/>
    <w:rsid w:val="00A34829"/>
    <w:rsid w:val="00A35725"/>
    <w:rsid w:val="00A35C24"/>
    <w:rsid w:val="00A35CAD"/>
    <w:rsid w:val="00A35CE0"/>
    <w:rsid w:val="00A37020"/>
    <w:rsid w:val="00A3708B"/>
    <w:rsid w:val="00A373E2"/>
    <w:rsid w:val="00A37592"/>
    <w:rsid w:val="00A379E4"/>
    <w:rsid w:val="00A37C30"/>
    <w:rsid w:val="00A4046D"/>
    <w:rsid w:val="00A40D3A"/>
    <w:rsid w:val="00A410B3"/>
    <w:rsid w:val="00A41210"/>
    <w:rsid w:val="00A41F26"/>
    <w:rsid w:val="00A42ABD"/>
    <w:rsid w:val="00A42B70"/>
    <w:rsid w:val="00A42CEF"/>
    <w:rsid w:val="00A42EAB"/>
    <w:rsid w:val="00A434D4"/>
    <w:rsid w:val="00A43701"/>
    <w:rsid w:val="00A43C9D"/>
    <w:rsid w:val="00A455CA"/>
    <w:rsid w:val="00A45A80"/>
    <w:rsid w:val="00A46075"/>
    <w:rsid w:val="00A46B87"/>
    <w:rsid w:val="00A47FBC"/>
    <w:rsid w:val="00A523AD"/>
    <w:rsid w:val="00A5270C"/>
    <w:rsid w:val="00A52E5F"/>
    <w:rsid w:val="00A53324"/>
    <w:rsid w:val="00A537A3"/>
    <w:rsid w:val="00A54054"/>
    <w:rsid w:val="00A54D0A"/>
    <w:rsid w:val="00A553E9"/>
    <w:rsid w:val="00A559F5"/>
    <w:rsid w:val="00A55F0D"/>
    <w:rsid w:val="00A561CE"/>
    <w:rsid w:val="00A56284"/>
    <w:rsid w:val="00A57D22"/>
    <w:rsid w:val="00A60072"/>
    <w:rsid w:val="00A60399"/>
    <w:rsid w:val="00A607E1"/>
    <w:rsid w:val="00A60890"/>
    <w:rsid w:val="00A6124D"/>
    <w:rsid w:val="00A62D66"/>
    <w:rsid w:val="00A63962"/>
    <w:rsid w:val="00A64CB3"/>
    <w:rsid w:val="00A64E76"/>
    <w:rsid w:val="00A65D19"/>
    <w:rsid w:val="00A66F16"/>
    <w:rsid w:val="00A673E6"/>
    <w:rsid w:val="00A674F9"/>
    <w:rsid w:val="00A67690"/>
    <w:rsid w:val="00A67AF3"/>
    <w:rsid w:val="00A70130"/>
    <w:rsid w:val="00A705BE"/>
    <w:rsid w:val="00A70981"/>
    <w:rsid w:val="00A71273"/>
    <w:rsid w:val="00A71301"/>
    <w:rsid w:val="00A71895"/>
    <w:rsid w:val="00A71DC8"/>
    <w:rsid w:val="00A7201F"/>
    <w:rsid w:val="00A725A3"/>
    <w:rsid w:val="00A748F2"/>
    <w:rsid w:val="00A757AC"/>
    <w:rsid w:val="00A766B8"/>
    <w:rsid w:val="00A772C6"/>
    <w:rsid w:val="00A81FA8"/>
    <w:rsid w:val="00A82BA3"/>
    <w:rsid w:val="00A82F4D"/>
    <w:rsid w:val="00A83123"/>
    <w:rsid w:val="00A83378"/>
    <w:rsid w:val="00A8341C"/>
    <w:rsid w:val="00A84937"/>
    <w:rsid w:val="00A84D32"/>
    <w:rsid w:val="00A90917"/>
    <w:rsid w:val="00A91BD9"/>
    <w:rsid w:val="00A91BDE"/>
    <w:rsid w:val="00A92BB3"/>
    <w:rsid w:val="00A92FF2"/>
    <w:rsid w:val="00A93226"/>
    <w:rsid w:val="00A9495D"/>
    <w:rsid w:val="00A95EC2"/>
    <w:rsid w:val="00A9643F"/>
    <w:rsid w:val="00A9784E"/>
    <w:rsid w:val="00A97899"/>
    <w:rsid w:val="00AA0333"/>
    <w:rsid w:val="00AA0AB3"/>
    <w:rsid w:val="00AA141B"/>
    <w:rsid w:val="00AA1581"/>
    <w:rsid w:val="00AA268B"/>
    <w:rsid w:val="00AA297D"/>
    <w:rsid w:val="00AA422C"/>
    <w:rsid w:val="00AA441F"/>
    <w:rsid w:val="00AA5105"/>
    <w:rsid w:val="00AA5132"/>
    <w:rsid w:val="00AA565F"/>
    <w:rsid w:val="00AA7E6A"/>
    <w:rsid w:val="00AB143B"/>
    <w:rsid w:val="00AB1573"/>
    <w:rsid w:val="00AB15D2"/>
    <w:rsid w:val="00AB1EE6"/>
    <w:rsid w:val="00AB2954"/>
    <w:rsid w:val="00AB2A00"/>
    <w:rsid w:val="00AB2D94"/>
    <w:rsid w:val="00AB33CF"/>
    <w:rsid w:val="00AB397F"/>
    <w:rsid w:val="00AB40EE"/>
    <w:rsid w:val="00AB4400"/>
    <w:rsid w:val="00AB4C89"/>
    <w:rsid w:val="00AB4D70"/>
    <w:rsid w:val="00AB4D98"/>
    <w:rsid w:val="00AB5674"/>
    <w:rsid w:val="00AB5B7A"/>
    <w:rsid w:val="00AB5D9A"/>
    <w:rsid w:val="00AB7F56"/>
    <w:rsid w:val="00AC07FF"/>
    <w:rsid w:val="00AC0CC0"/>
    <w:rsid w:val="00AC1582"/>
    <w:rsid w:val="00AC2714"/>
    <w:rsid w:val="00AC32C7"/>
    <w:rsid w:val="00AC37E6"/>
    <w:rsid w:val="00AC3B79"/>
    <w:rsid w:val="00AC42F7"/>
    <w:rsid w:val="00AC4388"/>
    <w:rsid w:val="00AC48B9"/>
    <w:rsid w:val="00AC4BFD"/>
    <w:rsid w:val="00AC4D48"/>
    <w:rsid w:val="00AC4EDB"/>
    <w:rsid w:val="00AC73A6"/>
    <w:rsid w:val="00AC7596"/>
    <w:rsid w:val="00AC767D"/>
    <w:rsid w:val="00AD1719"/>
    <w:rsid w:val="00AD1803"/>
    <w:rsid w:val="00AD24EE"/>
    <w:rsid w:val="00AD2EE9"/>
    <w:rsid w:val="00AD45BB"/>
    <w:rsid w:val="00AD4CF0"/>
    <w:rsid w:val="00AD521E"/>
    <w:rsid w:val="00AD5308"/>
    <w:rsid w:val="00AD5743"/>
    <w:rsid w:val="00AD5FC1"/>
    <w:rsid w:val="00AD60B6"/>
    <w:rsid w:val="00AD66D3"/>
    <w:rsid w:val="00AD735E"/>
    <w:rsid w:val="00AD76B2"/>
    <w:rsid w:val="00AD7EEB"/>
    <w:rsid w:val="00AE0887"/>
    <w:rsid w:val="00AE152F"/>
    <w:rsid w:val="00AE156F"/>
    <w:rsid w:val="00AE1C9E"/>
    <w:rsid w:val="00AE21EC"/>
    <w:rsid w:val="00AE2F55"/>
    <w:rsid w:val="00AE4D34"/>
    <w:rsid w:val="00AE4E94"/>
    <w:rsid w:val="00AE528D"/>
    <w:rsid w:val="00AE56CE"/>
    <w:rsid w:val="00AE5DB7"/>
    <w:rsid w:val="00AE64C7"/>
    <w:rsid w:val="00AE6B96"/>
    <w:rsid w:val="00AE6D1C"/>
    <w:rsid w:val="00AE7A9E"/>
    <w:rsid w:val="00AF0738"/>
    <w:rsid w:val="00AF08B2"/>
    <w:rsid w:val="00AF2400"/>
    <w:rsid w:val="00AF2D1F"/>
    <w:rsid w:val="00AF2DD0"/>
    <w:rsid w:val="00AF31AC"/>
    <w:rsid w:val="00AF31DD"/>
    <w:rsid w:val="00AF37B9"/>
    <w:rsid w:val="00AF51AA"/>
    <w:rsid w:val="00AF6D33"/>
    <w:rsid w:val="00B00827"/>
    <w:rsid w:val="00B00C91"/>
    <w:rsid w:val="00B01BF4"/>
    <w:rsid w:val="00B0223A"/>
    <w:rsid w:val="00B0284C"/>
    <w:rsid w:val="00B031E4"/>
    <w:rsid w:val="00B03697"/>
    <w:rsid w:val="00B04B7C"/>
    <w:rsid w:val="00B04CF1"/>
    <w:rsid w:val="00B057B8"/>
    <w:rsid w:val="00B05E24"/>
    <w:rsid w:val="00B06206"/>
    <w:rsid w:val="00B06F2C"/>
    <w:rsid w:val="00B070B9"/>
    <w:rsid w:val="00B07A10"/>
    <w:rsid w:val="00B07B1E"/>
    <w:rsid w:val="00B07C4A"/>
    <w:rsid w:val="00B10F23"/>
    <w:rsid w:val="00B11F5E"/>
    <w:rsid w:val="00B1270F"/>
    <w:rsid w:val="00B1298E"/>
    <w:rsid w:val="00B12D7F"/>
    <w:rsid w:val="00B12EC6"/>
    <w:rsid w:val="00B1425D"/>
    <w:rsid w:val="00B14C4F"/>
    <w:rsid w:val="00B151E0"/>
    <w:rsid w:val="00B15768"/>
    <w:rsid w:val="00B15BAE"/>
    <w:rsid w:val="00B16304"/>
    <w:rsid w:val="00B169E8"/>
    <w:rsid w:val="00B178C3"/>
    <w:rsid w:val="00B21A4C"/>
    <w:rsid w:val="00B22693"/>
    <w:rsid w:val="00B22B0A"/>
    <w:rsid w:val="00B23478"/>
    <w:rsid w:val="00B242D6"/>
    <w:rsid w:val="00B251A3"/>
    <w:rsid w:val="00B252D7"/>
    <w:rsid w:val="00B25CF3"/>
    <w:rsid w:val="00B2690B"/>
    <w:rsid w:val="00B26F95"/>
    <w:rsid w:val="00B27242"/>
    <w:rsid w:val="00B273EF"/>
    <w:rsid w:val="00B275EB"/>
    <w:rsid w:val="00B27E0D"/>
    <w:rsid w:val="00B3008E"/>
    <w:rsid w:val="00B301A4"/>
    <w:rsid w:val="00B3020C"/>
    <w:rsid w:val="00B310A5"/>
    <w:rsid w:val="00B318F2"/>
    <w:rsid w:val="00B35317"/>
    <w:rsid w:val="00B35B32"/>
    <w:rsid w:val="00B35D39"/>
    <w:rsid w:val="00B36AE2"/>
    <w:rsid w:val="00B370A0"/>
    <w:rsid w:val="00B37248"/>
    <w:rsid w:val="00B37977"/>
    <w:rsid w:val="00B4013D"/>
    <w:rsid w:val="00B410C1"/>
    <w:rsid w:val="00B419FB"/>
    <w:rsid w:val="00B4253E"/>
    <w:rsid w:val="00B4271D"/>
    <w:rsid w:val="00B436A1"/>
    <w:rsid w:val="00B43A32"/>
    <w:rsid w:val="00B44F20"/>
    <w:rsid w:val="00B459FF"/>
    <w:rsid w:val="00B4656D"/>
    <w:rsid w:val="00B46720"/>
    <w:rsid w:val="00B467D8"/>
    <w:rsid w:val="00B46AB2"/>
    <w:rsid w:val="00B47FEA"/>
    <w:rsid w:val="00B47FF1"/>
    <w:rsid w:val="00B5079E"/>
    <w:rsid w:val="00B50914"/>
    <w:rsid w:val="00B50E08"/>
    <w:rsid w:val="00B50FC6"/>
    <w:rsid w:val="00B5154C"/>
    <w:rsid w:val="00B515C0"/>
    <w:rsid w:val="00B517DD"/>
    <w:rsid w:val="00B51B90"/>
    <w:rsid w:val="00B51B91"/>
    <w:rsid w:val="00B520F2"/>
    <w:rsid w:val="00B52CF2"/>
    <w:rsid w:val="00B53AF6"/>
    <w:rsid w:val="00B542DF"/>
    <w:rsid w:val="00B5473C"/>
    <w:rsid w:val="00B55868"/>
    <w:rsid w:val="00B562EE"/>
    <w:rsid w:val="00B56630"/>
    <w:rsid w:val="00B56691"/>
    <w:rsid w:val="00B57B41"/>
    <w:rsid w:val="00B610F0"/>
    <w:rsid w:val="00B62571"/>
    <w:rsid w:val="00B62E79"/>
    <w:rsid w:val="00B6360C"/>
    <w:rsid w:val="00B63968"/>
    <w:rsid w:val="00B63FCA"/>
    <w:rsid w:val="00B64A25"/>
    <w:rsid w:val="00B65FA9"/>
    <w:rsid w:val="00B65FAA"/>
    <w:rsid w:val="00B66129"/>
    <w:rsid w:val="00B701F7"/>
    <w:rsid w:val="00B7032D"/>
    <w:rsid w:val="00B714DC"/>
    <w:rsid w:val="00B71C39"/>
    <w:rsid w:val="00B71DEF"/>
    <w:rsid w:val="00B71E37"/>
    <w:rsid w:val="00B71FC3"/>
    <w:rsid w:val="00B73E96"/>
    <w:rsid w:val="00B73FA6"/>
    <w:rsid w:val="00B746A0"/>
    <w:rsid w:val="00B74C2B"/>
    <w:rsid w:val="00B755DF"/>
    <w:rsid w:val="00B75A6C"/>
    <w:rsid w:val="00B75CE6"/>
    <w:rsid w:val="00B767FB"/>
    <w:rsid w:val="00B76F6D"/>
    <w:rsid w:val="00B76FF8"/>
    <w:rsid w:val="00B80204"/>
    <w:rsid w:val="00B8069B"/>
    <w:rsid w:val="00B81E93"/>
    <w:rsid w:val="00B82A8A"/>
    <w:rsid w:val="00B83048"/>
    <w:rsid w:val="00B8326F"/>
    <w:rsid w:val="00B844F2"/>
    <w:rsid w:val="00B848FC"/>
    <w:rsid w:val="00B856A7"/>
    <w:rsid w:val="00B8621B"/>
    <w:rsid w:val="00B86662"/>
    <w:rsid w:val="00B867AF"/>
    <w:rsid w:val="00B86C59"/>
    <w:rsid w:val="00B878D5"/>
    <w:rsid w:val="00B87AD4"/>
    <w:rsid w:val="00B90999"/>
    <w:rsid w:val="00B90FE0"/>
    <w:rsid w:val="00B91298"/>
    <w:rsid w:val="00B91766"/>
    <w:rsid w:val="00B917B2"/>
    <w:rsid w:val="00B91D24"/>
    <w:rsid w:val="00B91E05"/>
    <w:rsid w:val="00B9210B"/>
    <w:rsid w:val="00B933A1"/>
    <w:rsid w:val="00B93580"/>
    <w:rsid w:val="00B93C9D"/>
    <w:rsid w:val="00B93E69"/>
    <w:rsid w:val="00B946CA"/>
    <w:rsid w:val="00B94F00"/>
    <w:rsid w:val="00B95697"/>
    <w:rsid w:val="00B95D85"/>
    <w:rsid w:val="00B96275"/>
    <w:rsid w:val="00B964EF"/>
    <w:rsid w:val="00B96E09"/>
    <w:rsid w:val="00B97320"/>
    <w:rsid w:val="00B977C1"/>
    <w:rsid w:val="00B97D7B"/>
    <w:rsid w:val="00BA0785"/>
    <w:rsid w:val="00BA0BAE"/>
    <w:rsid w:val="00BA17C6"/>
    <w:rsid w:val="00BA2F51"/>
    <w:rsid w:val="00BA2FFD"/>
    <w:rsid w:val="00BA414D"/>
    <w:rsid w:val="00BA439C"/>
    <w:rsid w:val="00BA4EF2"/>
    <w:rsid w:val="00BA51F4"/>
    <w:rsid w:val="00BA5C93"/>
    <w:rsid w:val="00BA6F2C"/>
    <w:rsid w:val="00BA706B"/>
    <w:rsid w:val="00BA7224"/>
    <w:rsid w:val="00BA751A"/>
    <w:rsid w:val="00BB039C"/>
    <w:rsid w:val="00BB171C"/>
    <w:rsid w:val="00BB28B8"/>
    <w:rsid w:val="00BB4461"/>
    <w:rsid w:val="00BB4594"/>
    <w:rsid w:val="00BB4A7C"/>
    <w:rsid w:val="00BB4E9A"/>
    <w:rsid w:val="00BB521E"/>
    <w:rsid w:val="00BB5579"/>
    <w:rsid w:val="00BB56C8"/>
    <w:rsid w:val="00BB5EE6"/>
    <w:rsid w:val="00BB6D96"/>
    <w:rsid w:val="00BB7BF1"/>
    <w:rsid w:val="00BC04C0"/>
    <w:rsid w:val="00BC0507"/>
    <w:rsid w:val="00BC0E55"/>
    <w:rsid w:val="00BC1A9F"/>
    <w:rsid w:val="00BC1AE1"/>
    <w:rsid w:val="00BC278C"/>
    <w:rsid w:val="00BC2FDF"/>
    <w:rsid w:val="00BC3969"/>
    <w:rsid w:val="00BC532B"/>
    <w:rsid w:val="00BC53B1"/>
    <w:rsid w:val="00BC5775"/>
    <w:rsid w:val="00BC5B0D"/>
    <w:rsid w:val="00BC7529"/>
    <w:rsid w:val="00BC7608"/>
    <w:rsid w:val="00BD00F9"/>
    <w:rsid w:val="00BD0247"/>
    <w:rsid w:val="00BD0A02"/>
    <w:rsid w:val="00BD0C3B"/>
    <w:rsid w:val="00BD0EAC"/>
    <w:rsid w:val="00BD173D"/>
    <w:rsid w:val="00BD1B66"/>
    <w:rsid w:val="00BD246F"/>
    <w:rsid w:val="00BD24F6"/>
    <w:rsid w:val="00BD2FEB"/>
    <w:rsid w:val="00BD32CE"/>
    <w:rsid w:val="00BD3737"/>
    <w:rsid w:val="00BD38FB"/>
    <w:rsid w:val="00BD3ED8"/>
    <w:rsid w:val="00BD3F1C"/>
    <w:rsid w:val="00BD3FE8"/>
    <w:rsid w:val="00BD449F"/>
    <w:rsid w:val="00BD45BB"/>
    <w:rsid w:val="00BD4BDE"/>
    <w:rsid w:val="00BD4D15"/>
    <w:rsid w:val="00BD58A9"/>
    <w:rsid w:val="00BD788B"/>
    <w:rsid w:val="00BD7D07"/>
    <w:rsid w:val="00BE076F"/>
    <w:rsid w:val="00BE07F5"/>
    <w:rsid w:val="00BE0F6C"/>
    <w:rsid w:val="00BE1F41"/>
    <w:rsid w:val="00BE28A1"/>
    <w:rsid w:val="00BE2C0E"/>
    <w:rsid w:val="00BE3606"/>
    <w:rsid w:val="00BE425C"/>
    <w:rsid w:val="00BE45CE"/>
    <w:rsid w:val="00BE4DEA"/>
    <w:rsid w:val="00BE5036"/>
    <w:rsid w:val="00BE5162"/>
    <w:rsid w:val="00BE572B"/>
    <w:rsid w:val="00BE64F6"/>
    <w:rsid w:val="00BE6775"/>
    <w:rsid w:val="00BE6D49"/>
    <w:rsid w:val="00BE6FEC"/>
    <w:rsid w:val="00BE7AD1"/>
    <w:rsid w:val="00BE7DD3"/>
    <w:rsid w:val="00BF00F7"/>
    <w:rsid w:val="00BF034C"/>
    <w:rsid w:val="00BF0A1A"/>
    <w:rsid w:val="00BF0FA6"/>
    <w:rsid w:val="00BF13F5"/>
    <w:rsid w:val="00BF1E75"/>
    <w:rsid w:val="00BF2C3B"/>
    <w:rsid w:val="00BF2C62"/>
    <w:rsid w:val="00BF2D08"/>
    <w:rsid w:val="00BF2EC9"/>
    <w:rsid w:val="00BF44BE"/>
    <w:rsid w:val="00BF4880"/>
    <w:rsid w:val="00BF5E4E"/>
    <w:rsid w:val="00BF6242"/>
    <w:rsid w:val="00BF6514"/>
    <w:rsid w:val="00C00072"/>
    <w:rsid w:val="00C01821"/>
    <w:rsid w:val="00C0188F"/>
    <w:rsid w:val="00C026A7"/>
    <w:rsid w:val="00C026D2"/>
    <w:rsid w:val="00C02DD4"/>
    <w:rsid w:val="00C03160"/>
    <w:rsid w:val="00C0355C"/>
    <w:rsid w:val="00C04578"/>
    <w:rsid w:val="00C05C6C"/>
    <w:rsid w:val="00C05D53"/>
    <w:rsid w:val="00C06A25"/>
    <w:rsid w:val="00C06A62"/>
    <w:rsid w:val="00C06C34"/>
    <w:rsid w:val="00C06C4A"/>
    <w:rsid w:val="00C078A0"/>
    <w:rsid w:val="00C101EC"/>
    <w:rsid w:val="00C10671"/>
    <w:rsid w:val="00C107F9"/>
    <w:rsid w:val="00C11AB5"/>
    <w:rsid w:val="00C11C7F"/>
    <w:rsid w:val="00C12027"/>
    <w:rsid w:val="00C12B68"/>
    <w:rsid w:val="00C13303"/>
    <w:rsid w:val="00C134C3"/>
    <w:rsid w:val="00C1361E"/>
    <w:rsid w:val="00C13699"/>
    <w:rsid w:val="00C146EE"/>
    <w:rsid w:val="00C164AF"/>
    <w:rsid w:val="00C16B1E"/>
    <w:rsid w:val="00C170E4"/>
    <w:rsid w:val="00C17AF0"/>
    <w:rsid w:val="00C2059F"/>
    <w:rsid w:val="00C20891"/>
    <w:rsid w:val="00C23016"/>
    <w:rsid w:val="00C23642"/>
    <w:rsid w:val="00C23830"/>
    <w:rsid w:val="00C23E9E"/>
    <w:rsid w:val="00C26982"/>
    <w:rsid w:val="00C26EC5"/>
    <w:rsid w:val="00C27413"/>
    <w:rsid w:val="00C305FF"/>
    <w:rsid w:val="00C30682"/>
    <w:rsid w:val="00C31090"/>
    <w:rsid w:val="00C31283"/>
    <w:rsid w:val="00C32362"/>
    <w:rsid w:val="00C3286D"/>
    <w:rsid w:val="00C32DB8"/>
    <w:rsid w:val="00C3344E"/>
    <w:rsid w:val="00C3396D"/>
    <w:rsid w:val="00C34202"/>
    <w:rsid w:val="00C35056"/>
    <w:rsid w:val="00C36502"/>
    <w:rsid w:val="00C365D7"/>
    <w:rsid w:val="00C36674"/>
    <w:rsid w:val="00C37D3D"/>
    <w:rsid w:val="00C404FA"/>
    <w:rsid w:val="00C4160C"/>
    <w:rsid w:val="00C41A31"/>
    <w:rsid w:val="00C41A8F"/>
    <w:rsid w:val="00C41B43"/>
    <w:rsid w:val="00C43AF8"/>
    <w:rsid w:val="00C441D0"/>
    <w:rsid w:val="00C448A9"/>
    <w:rsid w:val="00C462CC"/>
    <w:rsid w:val="00C462E3"/>
    <w:rsid w:val="00C4753D"/>
    <w:rsid w:val="00C509BC"/>
    <w:rsid w:val="00C509F9"/>
    <w:rsid w:val="00C50C17"/>
    <w:rsid w:val="00C516A7"/>
    <w:rsid w:val="00C51AD7"/>
    <w:rsid w:val="00C52541"/>
    <w:rsid w:val="00C52542"/>
    <w:rsid w:val="00C527CC"/>
    <w:rsid w:val="00C52B68"/>
    <w:rsid w:val="00C52B90"/>
    <w:rsid w:val="00C52CD3"/>
    <w:rsid w:val="00C53077"/>
    <w:rsid w:val="00C5313E"/>
    <w:rsid w:val="00C542F8"/>
    <w:rsid w:val="00C545BA"/>
    <w:rsid w:val="00C54F30"/>
    <w:rsid w:val="00C55487"/>
    <w:rsid w:val="00C57F0C"/>
    <w:rsid w:val="00C62659"/>
    <w:rsid w:val="00C62E51"/>
    <w:rsid w:val="00C6343E"/>
    <w:rsid w:val="00C6384F"/>
    <w:rsid w:val="00C639A0"/>
    <w:rsid w:val="00C64D93"/>
    <w:rsid w:val="00C64FFC"/>
    <w:rsid w:val="00C65BEF"/>
    <w:rsid w:val="00C65F40"/>
    <w:rsid w:val="00C66141"/>
    <w:rsid w:val="00C66CEE"/>
    <w:rsid w:val="00C7056C"/>
    <w:rsid w:val="00C70B84"/>
    <w:rsid w:val="00C70CB2"/>
    <w:rsid w:val="00C7171F"/>
    <w:rsid w:val="00C71ACE"/>
    <w:rsid w:val="00C71D30"/>
    <w:rsid w:val="00C72F2A"/>
    <w:rsid w:val="00C7383B"/>
    <w:rsid w:val="00C74D6F"/>
    <w:rsid w:val="00C75A46"/>
    <w:rsid w:val="00C75DE2"/>
    <w:rsid w:val="00C76F73"/>
    <w:rsid w:val="00C76FE5"/>
    <w:rsid w:val="00C77166"/>
    <w:rsid w:val="00C77E23"/>
    <w:rsid w:val="00C81413"/>
    <w:rsid w:val="00C81771"/>
    <w:rsid w:val="00C81C2A"/>
    <w:rsid w:val="00C82260"/>
    <w:rsid w:val="00C8309B"/>
    <w:rsid w:val="00C83B21"/>
    <w:rsid w:val="00C83FDB"/>
    <w:rsid w:val="00C843F6"/>
    <w:rsid w:val="00C84424"/>
    <w:rsid w:val="00C847AE"/>
    <w:rsid w:val="00C86A0C"/>
    <w:rsid w:val="00C87AD3"/>
    <w:rsid w:val="00C90B89"/>
    <w:rsid w:val="00C90D37"/>
    <w:rsid w:val="00C91175"/>
    <w:rsid w:val="00C925B6"/>
    <w:rsid w:val="00C9317B"/>
    <w:rsid w:val="00C9371D"/>
    <w:rsid w:val="00C956DA"/>
    <w:rsid w:val="00C9678D"/>
    <w:rsid w:val="00C97370"/>
    <w:rsid w:val="00C97D0E"/>
    <w:rsid w:val="00CA0481"/>
    <w:rsid w:val="00CA0D06"/>
    <w:rsid w:val="00CA152C"/>
    <w:rsid w:val="00CA1598"/>
    <w:rsid w:val="00CA2556"/>
    <w:rsid w:val="00CA2B61"/>
    <w:rsid w:val="00CA2BF8"/>
    <w:rsid w:val="00CA5820"/>
    <w:rsid w:val="00CA6243"/>
    <w:rsid w:val="00CA633A"/>
    <w:rsid w:val="00CA643C"/>
    <w:rsid w:val="00CA6545"/>
    <w:rsid w:val="00CA656F"/>
    <w:rsid w:val="00CA6958"/>
    <w:rsid w:val="00CA7961"/>
    <w:rsid w:val="00CB04BB"/>
    <w:rsid w:val="00CB067B"/>
    <w:rsid w:val="00CB110C"/>
    <w:rsid w:val="00CB14A2"/>
    <w:rsid w:val="00CB1AA1"/>
    <w:rsid w:val="00CB26DD"/>
    <w:rsid w:val="00CB2B6A"/>
    <w:rsid w:val="00CB3BFC"/>
    <w:rsid w:val="00CB407E"/>
    <w:rsid w:val="00CB455B"/>
    <w:rsid w:val="00CB473D"/>
    <w:rsid w:val="00CB5253"/>
    <w:rsid w:val="00CB537D"/>
    <w:rsid w:val="00CB5585"/>
    <w:rsid w:val="00CB674C"/>
    <w:rsid w:val="00CB6A45"/>
    <w:rsid w:val="00CB6C11"/>
    <w:rsid w:val="00CB6DE3"/>
    <w:rsid w:val="00CC0661"/>
    <w:rsid w:val="00CC126A"/>
    <w:rsid w:val="00CC12B6"/>
    <w:rsid w:val="00CC230A"/>
    <w:rsid w:val="00CC2C95"/>
    <w:rsid w:val="00CC2D93"/>
    <w:rsid w:val="00CC3B90"/>
    <w:rsid w:val="00CC4A2A"/>
    <w:rsid w:val="00CC6C9E"/>
    <w:rsid w:val="00CC721E"/>
    <w:rsid w:val="00CC73CC"/>
    <w:rsid w:val="00CC7487"/>
    <w:rsid w:val="00CC7BCE"/>
    <w:rsid w:val="00CD0927"/>
    <w:rsid w:val="00CD09E1"/>
    <w:rsid w:val="00CD1A54"/>
    <w:rsid w:val="00CD1BAF"/>
    <w:rsid w:val="00CD2032"/>
    <w:rsid w:val="00CD23A3"/>
    <w:rsid w:val="00CD2A17"/>
    <w:rsid w:val="00CD3123"/>
    <w:rsid w:val="00CD504B"/>
    <w:rsid w:val="00CD60F4"/>
    <w:rsid w:val="00CD63C8"/>
    <w:rsid w:val="00CD63DD"/>
    <w:rsid w:val="00CD6BCB"/>
    <w:rsid w:val="00CD6BEC"/>
    <w:rsid w:val="00CD7504"/>
    <w:rsid w:val="00CD7FAC"/>
    <w:rsid w:val="00CE0122"/>
    <w:rsid w:val="00CE03B2"/>
    <w:rsid w:val="00CE09DE"/>
    <w:rsid w:val="00CE15C3"/>
    <w:rsid w:val="00CE2872"/>
    <w:rsid w:val="00CE2934"/>
    <w:rsid w:val="00CE2CF2"/>
    <w:rsid w:val="00CE2DA3"/>
    <w:rsid w:val="00CE44F8"/>
    <w:rsid w:val="00CE570E"/>
    <w:rsid w:val="00CE60AC"/>
    <w:rsid w:val="00CE612B"/>
    <w:rsid w:val="00CE618E"/>
    <w:rsid w:val="00CE6F1C"/>
    <w:rsid w:val="00CE70F5"/>
    <w:rsid w:val="00CE761E"/>
    <w:rsid w:val="00CE79EC"/>
    <w:rsid w:val="00CE7CA8"/>
    <w:rsid w:val="00CF0159"/>
    <w:rsid w:val="00CF1BCD"/>
    <w:rsid w:val="00CF245A"/>
    <w:rsid w:val="00CF2BEE"/>
    <w:rsid w:val="00CF326A"/>
    <w:rsid w:val="00CF38B6"/>
    <w:rsid w:val="00CF3B46"/>
    <w:rsid w:val="00CF3DB7"/>
    <w:rsid w:val="00CF4AC7"/>
    <w:rsid w:val="00CF4D77"/>
    <w:rsid w:val="00CF5219"/>
    <w:rsid w:val="00CF654A"/>
    <w:rsid w:val="00CF6D8D"/>
    <w:rsid w:val="00CF70E0"/>
    <w:rsid w:val="00CF7C9E"/>
    <w:rsid w:val="00CF7FEF"/>
    <w:rsid w:val="00D00323"/>
    <w:rsid w:val="00D00A66"/>
    <w:rsid w:val="00D00DA8"/>
    <w:rsid w:val="00D00DE7"/>
    <w:rsid w:val="00D01FFC"/>
    <w:rsid w:val="00D02714"/>
    <w:rsid w:val="00D02915"/>
    <w:rsid w:val="00D03029"/>
    <w:rsid w:val="00D046F7"/>
    <w:rsid w:val="00D04CAB"/>
    <w:rsid w:val="00D0541C"/>
    <w:rsid w:val="00D05507"/>
    <w:rsid w:val="00D05C2A"/>
    <w:rsid w:val="00D05D41"/>
    <w:rsid w:val="00D05D7D"/>
    <w:rsid w:val="00D0697A"/>
    <w:rsid w:val="00D06BDB"/>
    <w:rsid w:val="00D07097"/>
    <w:rsid w:val="00D0746F"/>
    <w:rsid w:val="00D07FF4"/>
    <w:rsid w:val="00D1013F"/>
    <w:rsid w:val="00D1093F"/>
    <w:rsid w:val="00D10C67"/>
    <w:rsid w:val="00D10EE0"/>
    <w:rsid w:val="00D113F6"/>
    <w:rsid w:val="00D11A09"/>
    <w:rsid w:val="00D12569"/>
    <w:rsid w:val="00D13283"/>
    <w:rsid w:val="00D13492"/>
    <w:rsid w:val="00D13AD1"/>
    <w:rsid w:val="00D1554A"/>
    <w:rsid w:val="00D155C5"/>
    <w:rsid w:val="00D15D4C"/>
    <w:rsid w:val="00D16089"/>
    <w:rsid w:val="00D169E7"/>
    <w:rsid w:val="00D175D3"/>
    <w:rsid w:val="00D207AA"/>
    <w:rsid w:val="00D212CA"/>
    <w:rsid w:val="00D21656"/>
    <w:rsid w:val="00D21C63"/>
    <w:rsid w:val="00D22B03"/>
    <w:rsid w:val="00D23298"/>
    <w:rsid w:val="00D24191"/>
    <w:rsid w:val="00D24A0F"/>
    <w:rsid w:val="00D2599E"/>
    <w:rsid w:val="00D26503"/>
    <w:rsid w:val="00D26F5A"/>
    <w:rsid w:val="00D307ED"/>
    <w:rsid w:val="00D318C2"/>
    <w:rsid w:val="00D32799"/>
    <w:rsid w:val="00D33258"/>
    <w:rsid w:val="00D335E8"/>
    <w:rsid w:val="00D354BD"/>
    <w:rsid w:val="00D3589A"/>
    <w:rsid w:val="00D36696"/>
    <w:rsid w:val="00D36B54"/>
    <w:rsid w:val="00D36E31"/>
    <w:rsid w:val="00D374AC"/>
    <w:rsid w:val="00D37C2C"/>
    <w:rsid w:val="00D37E95"/>
    <w:rsid w:val="00D4006B"/>
    <w:rsid w:val="00D4036F"/>
    <w:rsid w:val="00D40D23"/>
    <w:rsid w:val="00D41259"/>
    <w:rsid w:val="00D43D1A"/>
    <w:rsid w:val="00D43F0E"/>
    <w:rsid w:val="00D44131"/>
    <w:rsid w:val="00D44144"/>
    <w:rsid w:val="00D442CC"/>
    <w:rsid w:val="00D44B0D"/>
    <w:rsid w:val="00D44C2A"/>
    <w:rsid w:val="00D452A6"/>
    <w:rsid w:val="00D455C0"/>
    <w:rsid w:val="00D4693B"/>
    <w:rsid w:val="00D46DFB"/>
    <w:rsid w:val="00D470CA"/>
    <w:rsid w:val="00D47D8A"/>
    <w:rsid w:val="00D51450"/>
    <w:rsid w:val="00D514B3"/>
    <w:rsid w:val="00D5218F"/>
    <w:rsid w:val="00D53EA9"/>
    <w:rsid w:val="00D55B05"/>
    <w:rsid w:val="00D55B73"/>
    <w:rsid w:val="00D55CA8"/>
    <w:rsid w:val="00D56A09"/>
    <w:rsid w:val="00D60608"/>
    <w:rsid w:val="00D607CA"/>
    <w:rsid w:val="00D60A00"/>
    <w:rsid w:val="00D61B47"/>
    <w:rsid w:val="00D61BC2"/>
    <w:rsid w:val="00D61E53"/>
    <w:rsid w:val="00D6246D"/>
    <w:rsid w:val="00D62A9B"/>
    <w:rsid w:val="00D67523"/>
    <w:rsid w:val="00D70CFD"/>
    <w:rsid w:val="00D7123A"/>
    <w:rsid w:val="00D719A7"/>
    <w:rsid w:val="00D71F09"/>
    <w:rsid w:val="00D721AF"/>
    <w:rsid w:val="00D722F5"/>
    <w:rsid w:val="00D728FD"/>
    <w:rsid w:val="00D736C4"/>
    <w:rsid w:val="00D7429C"/>
    <w:rsid w:val="00D74410"/>
    <w:rsid w:val="00D746FE"/>
    <w:rsid w:val="00D74AB1"/>
    <w:rsid w:val="00D74AE3"/>
    <w:rsid w:val="00D74BB0"/>
    <w:rsid w:val="00D75E09"/>
    <w:rsid w:val="00D76867"/>
    <w:rsid w:val="00D769C8"/>
    <w:rsid w:val="00D76D89"/>
    <w:rsid w:val="00D76E23"/>
    <w:rsid w:val="00D82E1D"/>
    <w:rsid w:val="00D83B53"/>
    <w:rsid w:val="00D84558"/>
    <w:rsid w:val="00D86395"/>
    <w:rsid w:val="00D86493"/>
    <w:rsid w:val="00D91244"/>
    <w:rsid w:val="00D91ED2"/>
    <w:rsid w:val="00D92D02"/>
    <w:rsid w:val="00D92F9C"/>
    <w:rsid w:val="00D938AD"/>
    <w:rsid w:val="00D93F20"/>
    <w:rsid w:val="00D940AA"/>
    <w:rsid w:val="00D9484C"/>
    <w:rsid w:val="00D94DAD"/>
    <w:rsid w:val="00D952A1"/>
    <w:rsid w:val="00D95FF8"/>
    <w:rsid w:val="00D96DA6"/>
    <w:rsid w:val="00D97229"/>
    <w:rsid w:val="00D9754D"/>
    <w:rsid w:val="00D978ED"/>
    <w:rsid w:val="00DA0E54"/>
    <w:rsid w:val="00DA21A0"/>
    <w:rsid w:val="00DA3CAB"/>
    <w:rsid w:val="00DA3CCC"/>
    <w:rsid w:val="00DA3D83"/>
    <w:rsid w:val="00DA40F7"/>
    <w:rsid w:val="00DA57B6"/>
    <w:rsid w:val="00DA5A49"/>
    <w:rsid w:val="00DA68AB"/>
    <w:rsid w:val="00DA7BBC"/>
    <w:rsid w:val="00DA7C25"/>
    <w:rsid w:val="00DB0129"/>
    <w:rsid w:val="00DB04AA"/>
    <w:rsid w:val="00DB12A6"/>
    <w:rsid w:val="00DB171A"/>
    <w:rsid w:val="00DB1D24"/>
    <w:rsid w:val="00DB286E"/>
    <w:rsid w:val="00DB3F48"/>
    <w:rsid w:val="00DB4E34"/>
    <w:rsid w:val="00DB54E6"/>
    <w:rsid w:val="00DB5608"/>
    <w:rsid w:val="00DB59EC"/>
    <w:rsid w:val="00DB66C3"/>
    <w:rsid w:val="00DB7626"/>
    <w:rsid w:val="00DC00CE"/>
    <w:rsid w:val="00DC1DE1"/>
    <w:rsid w:val="00DC275D"/>
    <w:rsid w:val="00DC3100"/>
    <w:rsid w:val="00DC3F9C"/>
    <w:rsid w:val="00DC4DAB"/>
    <w:rsid w:val="00DC544C"/>
    <w:rsid w:val="00DC54DB"/>
    <w:rsid w:val="00DC5FC0"/>
    <w:rsid w:val="00DC671B"/>
    <w:rsid w:val="00DC67BA"/>
    <w:rsid w:val="00DC6CDD"/>
    <w:rsid w:val="00DC75A4"/>
    <w:rsid w:val="00DD01EB"/>
    <w:rsid w:val="00DD073A"/>
    <w:rsid w:val="00DD2717"/>
    <w:rsid w:val="00DD424C"/>
    <w:rsid w:val="00DD4C26"/>
    <w:rsid w:val="00DD5204"/>
    <w:rsid w:val="00DD5C35"/>
    <w:rsid w:val="00DD6B6F"/>
    <w:rsid w:val="00DD6C9F"/>
    <w:rsid w:val="00DD72FA"/>
    <w:rsid w:val="00DD75BA"/>
    <w:rsid w:val="00DD7D99"/>
    <w:rsid w:val="00DE0121"/>
    <w:rsid w:val="00DE0270"/>
    <w:rsid w:val="00DE0ADB"/>
    <w:rsid w:val="00DE19FE"/>
    <w:rsid w:val="00DE1CC3"/>
    <w:rsid w:val="00DE1FE3"/>
    <w:rsid w:val="00DE23E4"/>
    <w:rsid w:val="00DE3211"/>
    <w:rsid w:val="00DE430D"/>
    <w:rsid w:val="00DE4C6D"/>
    <w:rsid w:val="00DE514A"/>
    <w:rsid w:val="00DE78DA"/>
    <w:rsid w:val="00DF008F"/>
    <w:rsid w:val="00DF0110"/>
    <w:rsid w:val="00DF04CC"/>
    <w:rsid w:val="00DF0A4A"/>
    <w:rsid w:val="00DF0E77"/>
    <w:rsid w:val="00DF2B65"/>
    <w:rsid w:val="00DF4636"/>
    <w:rsid w:val="00DF5564"/>
    <w:rsid w:val="00DF55B4"/>
    <w:rsid w:val="00DF5EF4"/>
    <w:rsid w:val="00DF5F6A"/>
    <w:rsid w:val="00DF67CB"/>
    <w:rsid w:val="00DF6CE0"/>
    <w:rsid w:val="00DF7257"/>
    <w:rsid w:val="00DF7B87"/>
    <w:rsid w:val="00DF7E60"/>
    <w:rsid w:val="00E004F7"/>
    <w:rsid w:val="00E00A1B"/>
    <w:rsid w:val="00E0193E"/>
    <w:rsid w:val="00E025DB"/>
    <w:rsid w:val="00E02786"/>
    <w:rsid w:val="00E0302D"/>
    <w:rsid w:val="00E03BC0"/>
    <w:rsid w:val="00E03DDB"/>
    <w:rsid w:val="00E03ED3"/>
    <w:rsid w:val="00E041B9"/>
    <w:rsid w:val="00E04770"/>
    <w:rsid w:val="00E0529C"/>
    <w:rsid w:val="00E057EE"/>
    <w:rsid w:val="00E05DD3"/>
    <w:rsid w:val="00E1041B"/>
    <w:rsid w:val="00E1053E"/>
    <w:rsid w:val="00E10A6C"/>
    <w:rsid w:val="00E11B08"/>
    <w:rsid w:val="00E11DBF"/>
    <w:rsid w:val="00E1218E"/>
    <w:rsid w:val="00E1251D"/>
    <w:rsid w:val="00E1387B"/>
    <w:rsid w:val="00E14C16"/>
    <w:rsid w:val="00E15683"/>
    <w:rsid w:val="00E15E23"/>
    <w:rsid w:val="00E17363"/>
    <w:rsid w:val="00E1739D"/>
    <w:rsid w:val="00E178FE"/>
    <w:rsid w:val="00E17A2F"/>
    <w:rsid w:val="00E17A9B"/>
    <w:rsid w:val="00E2144B"/>
    <w:rsid w:val="00E21646"/>
    <w:rsid w:val="00E2195D"/>
    <w:rsid w:val="00E21A61"/>
    <w:rsid w:val="00E21D5B"/>
    <w:rsid w:val="00E24B76"/>
    <w:rsid w:val="00E25FD1"/>
    <w:rsid w:val="00E26549"/>
    <w:rsid w:val="00E26657"/>
    <w:rsid w:val="00E26955"/>
    <w:rsid w:val="00E270C4"/>
    <w:rsid w:val="00E27F0C"/>
    <w:rsid w:val="00E27F96"/>
    <w:rsid w:val="00E3035F"/>
    <w:rsid w:val="00E30AF6"/>
    <w:rsid w:val="00E30D37"/>
    <w:rsid w:val="00E30F3F"/>
    <w:rsid w:val="00E31780"/>
    <w:rsid w:val="00E31B5F"/>
    <w:rsid w:val="00E32AAD"/>
    <w:rsid w:val="00E33205"/>
    <w:rsid w:val="00E33A40"/>
    <w:rsid w:val="00E35680"/>
    <w:rsid w:val="00E3763A"/>
    <w:rsid w:val="00E3797A"/>
    <w:rsid w:val="00E37E6B"/>
    <w:rsid w:val="00E40B4E"/>
    <w:rsid w:val="00E40D68"/>
    <w:rsid w:val="00E410A3"/>
    <w:rsid w:val="00E41A27"/>
    <w:rsid w:val="00E42684"/>
    <w:rsid w:val="00E427D6"/>
    <w:rsid w:val="00E429B7"/>
    <w:rsid w:val="00E43202"/>
    <w:rsid w:val="00E43CC6"/>
    <w:rsid w:val="00E4449B"/>
    <w:rsid w:val="00E44565"/>
    <w:rsid w:val="00E45123"/>
    <w:rsid w:val="00E457A6"/>
    <w:rsid w:val="00E458C8"/>
    <w:rsid w:val="00E45AAD"/>
    <w:rsid w:val="00E45BB1"/>
    <w:rsid w:val="00E45FDB"/>
    <w:rsid w:val="00E46656"/>
    <w:rsid w:val="00E46F20"/>
    <w:rsid w:val="00E46F33"/>
    <w:rsid w:val="00E47363"/>
    <w:rsid w:val="00E47E45"/>
    <w:rsid w:val="00E50008"/>
    <w:rsid w:val="00E500B8"/>
    <w:rsid w:val="00E5047B"/>
    <w:rsid w:val="00E514A1"/>
    <w:rsid w:val="00E51668"/>
    <w:rsid w:val="00E52FB2"/>
    <w:rsid w:val="00E532EB"/>
    <w:rsid w:val="00E54C0A"/>
    <w:rsid w:val="00E57732"/>
    <w:rsid w:val="00E57DFC"/>
    <w:rsid w:val="00E61013"/>
    <w:rsid w:val="00E6147A"/>
    <w:rsid w:val="00E615B4"/>
    <w:rsid w:val="00E61BA9"/>
    <w:rsid w:val="00E6211E"/>
    <w:rsid w:val="00E639D3"/>
    <w:rsid w:val="00E63E00"/>
    <w:rsid w:val="00E64C7D"/>
    <w:rsid w:val="00E657BD"/>
    <w:rsid w:val="00E65A17"/>
    <w:rsid w:val="00E679AA"/>
    <w:rsid w:val="00E67CB1"/>
    <w:rsid w:val="00E67CC1"/>
    <w:rsid w:val="00E707D6"/>
    <w:rsid w:val="00E70CE8"/>
    <w:rsid w:val="00E71ABF"/>
    <w:rsid w:val="00E72D85"/>
    <w:rsid w:val="00E72DB0"/>
    <w:rsid w:val="00E74CA6"/>
    <w:rsid w:val="00E75338"/>
    <w:rsid w:val="00E75452"/>
    <w:rsid w:val="00E7582A"/>
    <w:rsid w:val="00E762C8"/>
    <w:rsid w:val="00E767FE"/>
    <w:rsid w:val="00E772CD"/>
    <w:rsid w:val="00E776E2"/>
    <w:rsid w:val="00E779C7"/>
    <w:rsid w:val="00E8029F"/>
    <w:rsid w:val="00E8242F"/>
    <w:rsid w:val="00E836FC"/>
    <w:rsid w:val="00E840C9"/>
    <w:rsid w:val="00E8430E"/>
    <w:rsid w:val="00E84514"/>
    <w:rsid w:val="00E847C1"/>
    <w:rsid w:val="00E84B42"/>
    <w:rsid w:val="00E86FF9"/>
    <w:rsid w:val="00E904B0"/>
    <w:rsid w:val="00E90958"/>
    <w:rsid w:val="00E90ABE"/>
    <w:rsid w:val="00E9183A"/>
    <w:rsid w:val="00E92699"/>
    <w:rsid w:val="00E94443"/>
    <w:rsid w:val="00E95F14"/>
    <w:rsid w:val="00E967BC"/>
    <w:rsid w:val="00E96E92"/>
    <w:rsid w:val="00E97335"/>
    <w:rsid w:val="00EA0242"/>
    <w:rsid w:val="00EA08A6"/>
    <w:rsid w:val="00EA08C2"/>
    <w:rsid w:val="00EA1525"/>
    <w:rsid w:val="00EA1A00"/>
    <w:rsid w:val="00EA1DA0"/>
    <w:rsid w:val="00EA2684"/>
    <w:rsid w:val="00EA30BB"/>
    <w:rsid w:val="00EA3119"/>
    <w:rsid w:val="00EA32D1"/>
    <w:rsid w:val="00EA3DE6"/>
    <w:rsid w:val="00EA61EA"/>
    <w:rsid w:val="00EA6CFA"/>
    <w:rsid w:val="00EB02C4"/>
    <w:rsid w:val="00EB0526"/>
    <w:rsid w:val="00EB055F"/>
    <w:rsid w:val="00EB0737"/>
    <w:rsid w:val="00EB1DCA"/>
    <w:rsid w:val="00EB2330"/>
    <w:rsid w:val="00EB2387"/>
    <w:rsid w:val="00EB3875"/>
    <w:rsid w:val="00EB414A"/>
    <w:rsid w:val="00EB5D11"/>
    <w:rsid w:val="00EB6510"/>
    <w:rsid w:val="00EB66E9"/>
    <w:rsid w:val="00EB7A7B"/>
    <w:rsid w:val="00EB7BE6"/>
    <w:rsid w:val="00EC04CC"/>
    <w:rsid w:val="00EC11FB"/>
    <w:rsid w:val="00EC144F"/>
    <w:rsid w:val="00EC20B3"/>
    <w:rsid w:val="00EC2220"/>
    <w:rsid w:val="00EC28A6"/>
    <w:rsid w:val="00EC4335"/>
    <w:rsid w:val="00EC4F09"/>
    <w:rsid w:val="00EC50A2"/>
    <w:rsid w:val="00EC5DD3"/>
    <w:rsid w:val="00EC6949"/>
    <w:rsid w:val="00EC69AB"/>
    <w:rsid w:val="00ED0BA0"/>
    <w:rsid w:val="00ED1073"/>
    <w:rsid w:val="00ED2F79"/>
    <w:rsid w:val="00ED3712"/>
    <w:rsid w:val="00ED3EFC"/>
    <w:rsid w:val="00ED45B3"/>
    <w:rsid w:val="00ED4F5A"/>
    <w:rsid w:val="00ED53FE"/>
    <w:rsid w:val="00ED6BF7"/>
    <w:rsid w:val="00ED6E9E"/>
    <w:rsid w:val="00ED7777"/>
    <w:rsid w:val="00ED7DC0"/>
    <w:rsid w:val="00EE0135"/>
    <w:rsid w:val="00EE0DA3"/>
    <w:rsid w:val="00EE162B"/>
    <w:rsid w:val="00EE2FC8"/>
    <w:rsid w:val="00EE323D"/>
    <w:rsid w:val="00EE37BE"/>
    <w:rsid w:val="00EE38DE"/>
    <w:rsid w:val="00EE3D98"/>
    <w:rsid w:val="00EE3DB8"/>
    <w:rsid w:val="00EE3E9E"/>
    <w:rsid w:val="00EE4623"/>
    <w:rsid w:val="00EE482C"/>
    <w:rsid w:val="00EE5FE7"/>
    <w:rsid w:val="00EE6085"/>
    <w:rsid w:val="00EE70F6"/>
    <w:rsid w:val="00EE7C5C"/>
    <w:rsid w:val="00EF00F9"/>
    <w:rsid w:val="00EF1046"/>
    <w:rsid w:val="00EF2B9B"/>
    <w:rsid w:val="00EF2E4C"/>
    <w:rsid w:val="00EF43B1"/>
    <w:rsid w:val="00EF4A05"/>
    <w:rsid w:val="00EF4F22"/>
    <w:rsid w:val="00EF4F28"/>
    <w:rsid w:val="00EF530C"/>
    <w:rsid w:val="00EF6D0F"/>
    <w:rsid w:val="00EF6F74"/>
    <w:rsid w:val="00EF72B8"/>
    <w:rsid w:val="00EF72EE"/>
    <w:rsid w:val="00EF736C"/>
    <w:rsid w:val="00EF77CB"/>
    <w:rsid w:val="00F01C50"/>
    <w:rsid w:val="00F01EE5"/>
    <w:rsid w:val="00F022E2"/>
    <w:rsid w:val="00F02EEB"/>
    <w:rsid w:val="00F04D1C"/>
    <w:rsid w:val="00F04FF8"/>
    <w:rsid w:val="00F05026"/>
    <w:rsid w:val="00F05057"/>
    <w:rsid w:val="00F064BA"/>
    <w:rsid w:val="00F07949"/>
    <w:rsid w:val="00F07A15"/>
    <w:rsid w:val="00F1028A"/>
    <w:rsid w:val="00F1109B"/>
    <w:rsid w:val="00F115F7"/>
    <w:rsid w:val="00F13C1E"/>
    <w:rsid w:val="00F13FED"/>
    <w:rsid w:val="00F14186"/>
    <w:rsid w:val="00F14781"/>
    <w:rsid w:val="00F14AED"/>
    <w:rsid w:val="00F159BF"/>
    <w:rsid w:val="00F15ABF"/>
    <w:rsid w:val="00F15AE8"/>
    <w:rsid w:val="00F17C28"/>
    <w:rsid w:val="00F17F99"/>
    <w:rsid w:val="00F20BF0"/>
    <w:rsid w:val="00F2106A"/>
    <w:rsid w:val="00F214BC"/>
    <w:rsid w:val="00F22C35"/>
    <w:rsid w:val="00F23BE1"/>
    <w:rsid w:val="00F23D98"/>
    <w:rsid w:val="00F26C57"/>
    <w:rsid w:val="00F27179"/>
    <w:rsid w:val="00F27225"/>
    <w:rsid w:val="00F30118"/>
    <w:rsid w:val="00F30FFC"/>
    <w:rsid w:val="00F3114F"/>
    <w:rsid w:val="00F31AD0"/>
    <w:rsid w:val="00F31E64"/>
    <w:rsid w:val="00F325A9"/>
    <w:rsid w:val="00F325CC"/>
    <w:rsid w:val="00F32F2E"/>
    <w:rsid w:val="00F34056"/>
    <w:rsid w:val="00F34864"/>
    <w:rsid w:val="00F34D56"/>
    <w:rsid w:val="00F34DA5"/>
    <w:rsid w:val="00F350EE"/>
    <w:rsid w:val="00F357DE"/>
    <w:rsid w:val="00F35F88"/>
    <w:rsid w:val="00F3612E"/>
    <w:rsid w:val="00F36D50"/>
    <w:rsid w:val="00F37066"/>
    <w:rsid w:val="00F37126"/>
    <w:rsid w:val="00F37FE8"/>
    <w:rsid w:val="00F40247"/>
    <w:rsid w:val="00F4067B"/>
    <w:rsid w:val="00F42D34"/>
    <w:rsid w:val="00F4348C"/>
    <w:rsid w:val="00F43D15"/>
    <w:rsid w:val="00F460A2"/>
    <w:rsid w:val="00F462E2"/>
    <w:rsid w:val="00F46D94"/>
    <w:rsid w:val="00F4766F"/>
    <w:rsid w:val="00F5080F"/>
    <w:rsid w:val="00F51A89"/>
    <w:rsid w:val="00F51FCB"/>
    <w:rsid w:val="00F52664"/>
    <w:rsid w:val="00F5363A"/>
    <w:rsid w:val="00F5378C"/>
    <w:rsid w:val="00F53801"/>
    <w:rsid w:val="00F54381"/>
    <w:rsid w:val="00F56641"/>
    <w:rsid w:val="00F56834"/>
    <w:rsid w:val="00F60236"/>
    <w:rsid w:val="00F602FC"/>
    <w:rsid w:val="00F609E7"/>
    <w:rsid w:val="00F60D5A"/>
    <w:rsid w:val="00F61881"/>
    <w:rsid w:val="00F628E8"/>
    <w:rsid w:val="00F63590"/>
    <w:rsid w:val="00F63D33"/>
    <w:rsid w:val="00F65B99"/>
    <w:rsid w:val="00F65F5F"/>
    <w:rsid w:val="00F66439"/>
    <w:rsid w:val="00F66454"/>
    <w:rsid w:val="00F6772E"/>
    <w:rsid w:val="00F704D9"/>
    <w:rsid w:val="00F718C7"/>
    <w:rsid w:val="00F723E7"/>
    <w:rsid w:val="00F72F9B"/>
    <w:rsid w:val="00F73A76"/>
    <w:rsid w:val="00F746B6"/>
    <w:rsid w:val="00F74844"/>
    <w:rsid w:val="00F74F11"/>
    <w:rsid w:val="00F75E73"/>
    <w:rsid w:val="00F76660"/>
    <w:rsid w:val="00F767EA"/>
    <w:rsid w:val="00F76DD4"/>
    <w:rsid w:val="00F7717C"/>
    <w:rsid w:val="00F77609"/>
    <w:rsid w:val="00F80E07"/>
    <w:rsid w:val="00F8105F"/>
    <w:rsid w:val="00F8180B"/>
    <w:rsid w:val="00F8186A"/>
    <w:rsid w:val="00F81C4F"/>
    <w:rsid w:val="00F81FAC"/>
    <w:rsid w:val="00F821AD"/>
    <w:rsid w:val="00F8344F"/>
    <w:rsid w:val="00F839EF"/>
    <w:rsid w:val="00F844BA"/>
    <w:rsid w:val="00F84E54"/>
    <w:rsid w:val="00F85248"/>
    <w:rsid w:val="00F861A0"/>
    <w:rsid w:val="00F864C2"/>
    <w:rsid w:val="00F86C15"/>
    <w:rsid w:val="00F86D83"/>
    <w:rsid w:val="00F90A07"/>
    <w:rsid w:val="00F91A39"/>
    <w:rsid w:val="00F91EFE"/>
    <w:rsid w:val="00F92D97"/>
    <w:rsid w:val="00F93369"/>
    <w:rsid w:val="00F93D26"/>
    <w:rsid w:val="00F93F44"/>
    <w:rsid w:val="00F94CBB"/>
    <w:rsid w:val="00F9515B"/>
    <w:rsid w:val="00F9682D"/>
    <w:rsid w:val="00F96ACA"/>
    <w:rsid w:val="00F96E0A"/>
    <w:rsid w:val="00F9781C"/>
    <w:rsid w:val="00F97882"/>
    <w:rsid w:val="00FA0C4B"/>
    <w:rsid w:val="00FA20D6"/>
    <w:rsid w:val="00FA20F9"/>
    <w:rsid w:val="00FA2560"/>
    <w:rsid w:val="00FA29B9"/>
    <w:rsid w:val="00FA2CA9"/>
    <w:rsid w:val="00FA3181"/>
    <w:rsid w:val="00FA3438"/>
    <w:rsid w:val="00FA3664"/>
    <w:rsid w:val="00FA48C3"/>
    <w:rsid w:val="00FA4983"/>
    <w:rsid w:val="00FA5BA2"/>
    <w:rsid w:val="00FA5E37"/>
    <w:rsid w:val="00FA659B"/>
    <w:rsid w:val="00FA671D"/>
    <w:rsid w:val="00FA6FC1"/>
    <w:rsid w:val="00FB0A0C"/>
    <w:rsid w:val="00FB123D"/>
    <w:rsid w:val="00FB1719"/>
    <w:rsid w:val="00FB18FF"/>
    <w:rsid w:val="00FB209B"/>
    <w:rsid w:val="00FB39A3"/>
    <w:rsid w:val="00FB48FC"/>
    <w:rsid w:val="00FB5813"/>
    <w:rsid w:val="00FB6874"/>
    <w:rsid w:val="00FB7170"/>
    <w:rsid w:val="00FB717E"/>
    <w:rsid w:val="00FB7725"/>
    <w:rsid w:val="00FC0A0D"/>
    <w:rsid w:val="00FC0A8B"/>
    <w:rsid w:val="00FC15A1"/>
    <w:rsid w:val="00FC2371"/>
    <w:rsid w:val="00FC23C7"/>
    <w:rsid w:val="00FC2F1E"/>
    <w:rsid w:val="00FC3234"/>
    <w:rsid w:val="00FC6FB4"/>
    <w:rsid w:val="00FC712B"/>
    <w:rsid w:val="00FC716F"/>
    <w:rsid w:val="00FC73DF"/>
    <w:rsid w:val="00FC77C2"/>
    <w:rsid w:val="00FC7DD4"/>
    <w:rsid w:val="00FD10A9"/>
    <w:rsid w:val="00FD3786"/>
    <w:rsid w:val="00FD3988"/>
    <w:rsid w:val="00FD3B33"/>
    <w:rsid w:val="00FD4935"/>
    <w:rsid w:val="00FD5204"/>
    <w:rsid w:val="00FD5FED"/>
    <w:rsid w:val="00FD6AE9"/>
    <w:rsid w:val="00FE03DE"/>
    <w:rsid w:val="00FE0619"/>
    <w:rsid w:val="00FE102A"/>
    <w:rsid w:val="00FE2BE4"/>
    <w:rsid w:val="00FE3061"/>
    <w:rsid w:val="00FE32B3"/>
    <w:rsid w:val="00FE43E3"/>
    <w:rsid w:val="00FE4AF5"/>
    <w:rsid w:val="00FE569C"/>
    <w:rsid w:val="00FE5A56"/>
    <w:rsid w:val="00FE5CD8"/>
    <w:rsid w:val="00FE5E4C"/>
    <w:rsid w:val="00FE5F5A"/>
    <w:rsid w:val="00FE61DF"/>
    <w:rsid w:val="00FE7A0A"/>
    <w:rsid w:val="00FF07CA"/>
    <w:rsid w:val="00FF0C79"/>
    <w:rsid w:val="00FF140E"/>
    <w:rsid w:val="00FF1F9A"/>
    <w:rsid w:val="00FF31F2"/>
    <w:rsid w:val="00FF36F0"/>
    <w:rsid w:val="00FF3EC0"/>
    <w:rsid w:val="00FF546D"/>
    <w:rsid w:val="00FF55D4"/>
    <w:rsid w:val="00FF5671"/>
    <w:rsid w:val="00FF5CF8"/>
    <w:rsid w:val="00FF6F67"/>
    <w:rsid w:val="00FF74C3"/>
    <w:rsid w:val="00FF7D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style="mso-position-vertical-relative:page;mso-width-relative:margin;mso-height-relative:margin;v-text-anchor:bottom" fill="f" fillcolor="white" stroke="f">
      <v:fill color="white" on="f"/>
      <v:stroke weight=".5pt" on="f"/>
      <v:textbox inset="0,0,0,0"/>
    </o:shapedefaults>
    <o:shapelayout v:ext="edit">
      <o:idmap v:ext="edit" data="1"/>
    </o:shapelayout>
  </w:shapeDefaults>
  <w:decimalSymbol w:val="."/>
  <w:listSeparator w:val=","/>
  <w14:docId w14:val="42D95D8A"/>
  <w15:docId w15:val="{AB7D7F7A-500E-4F55-8603-F210E2A36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AU" w:eastAsia="en-AU"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locked="0" w:semiHidden="1" w:uiPriority="0"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iPriority="0" w:unhideWhenUsed="1" w:qFormat="1"/>
    <w:lsdException w:name="List Number" w:locked="0"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locked="0" w:semiHidden="1" w:uiPriority="1" w:unhideWhenUsed="1" w:qFormat="1"/>
    <w:lsdException w:name="Body Text Indent" w:semiHidden="1" w:unhideWhenUsed="1"/>
    <w:lsdException w:name="List Continue" w:locked="0"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3B3C13"/>
    <w:pPr>
      <w:spacing w:after="200" w:line="276" w:lineRule="auto"/>
    </w:pPr>
    <w:rPr>
      <w:rFonts w:cs="Arial"/>
      <w:sz w:val="21"/>
      <w:szCs w:val="21"/>
    </w:rPr>
  </w:style>
  <w:style w:type="paragraph" w:styleId="Heading1">
    <w:name w:val="heading 1"/>
    <w:basedOn w:val="Normal"/>
    <w:next w:val="Normal"/>
    <w:link w:val="Heading1Char"/>
    <w:uiPriority w:val="9"/>
    <w:qFormat/>
    <w:rsid w:val="001C5683"/>
    <w:pPr>
      <w:keepNext/>
      <w:spacing w:after="180" w:line="240" w:lineRule="auto"/>
      <w:outlineLvl w:val="0"/>
    </w:pPr>
    <w:rPr>
      <w:bCs/>
      <w:noProof/>
      <w:color w:val="262626" w:themeColor="text1" w:themeTint="D9"/>
      <w:kern w:val="32"/>
      <w:sz w:val="40"/>
      <w:szCs w:val="40"/>
      <w:lang w:eastAsia="en-US"/>
    </w:rPr>
  </w:style>
  <w:style w:type="paragraph" w:styleId="Heading2">
    <w:name w:val="heading 2"/>
    <w:basedOn w:val="Normal"/>
    <w:next w:val="Normal"/>
    <w:link w:val="Heading2Char"/>
    <w:uiPriority w:val="9"/>
    <w:qFormat/>
    <w:rsid w:val="00392640"/>
    <w:pPr>
      <w:keepNext/>
      <w:spacing w:after="120" w:line="240" w:lineRule="auto"/>
      <w:outlineLvl w:val="1"/>
    </w:pPr>
    <w:rPr>
      <w:rFonts w:eastAsia="Calibri"/>
      <w:bCs/>
      <w:iCs/>
      <w:color w:val="595959" w:themeColor="text1" w:themeTint="A6"/>
      <w:sz w:val="32"/>
      <w:szCs w:val="32"/>
      <w:lang w:eastAsia="en-US"/>
    </w:rPr>
  </w:style>
  <w:style w:type="paragraph" w:styleId="Heading3">
    <w:name w:val="heading 3"/>
    <w:basedOn w:val="Normal"/>
    <w:next w:val="Normal"/>
    <w:link w:val="Heading3Char"/>
    <w:uiPriority w:val="9"/>
    <w:qFormat/>
    <w:rsid w:val="007524AB"/>
    <w:pPr>
      <w:spacing w:after="120" w:line="240" w:lineRule="auto"/>
      <w:outlineLvl w:val="2"/>
    </w:pPr>
    <w:rPr>
      <w:bCs/>
      <w:color w:val="7F7F7F"/>
      <w:sz w:val="26"/>
      <w:szCs w:val="26"/>
      <w:lang w:eastAsia="en-US"/>
    </w:rPr>
  </w:style>
  <w:style w:type="paragraph" w:styleId="Heading4">
    <w:name w:val="heading 4"/>
    <w:basedOn w:val="BodyText"/>
    <w:next w:val="Normal"/>
    <w:link w:val="Heading4Char"/>
    <w:uiPriority w:val="9"/>
    <w:unhideWhenUsed/>
    <w:qFormat/>
    <w:rsid w:val="00D21656"/>
    <w:pPr>
      <w:spacing w:after="40"/>
      <w:outlineLvl w:val="3"/>
    </w:pPr>
    <w:rPr>
      <w:rFonts w:eastAsia="Calibri"/>
      <w:b/>
      <w:sz w:val="23"/>
      <w:szCs w:val="23"/>
      <w:lang w:val="en-US" w:eastAsia="en-US"/>
    </w:rPr>
  </w:style>
  <w:style w:type="paragraph" w:styleId="Heading5">
    <w:name w:val="heading 5"/>
    <w:basedOn w:val="BodyText"/>
    <w:next w:val="Normal"/>
    <w:link w:val="Heading5Char"/>
    <w:uiPriority w:val="9"/>
    <w:unhideWhenUsed/>
    <w:qFormat/>
    <w:rsid w:val="00D21656"/>
    <w:pPr>
      <w:spacing w:after="40"/>
      <w:outlineLvl w:val="4"/>
    </w:pPr>
    <w:rPr>
      <w:rFonts w:eastAsia="Calibri"/>
      <w:b/>
      <w:i/>
      <w:lang w:val="en-US" w:eastAsia="en-US"/>
    </w:rPr>
  </w:style>
  <w:style w:type="paragraph" w:styleId="Heading6">
    <w:name w:val="heading 6"/>
    <w:basedOn w:val="Normal"/>
    <w:next w:val="Normal"/>
    <w:link w:val="Heading6Char"/>
    <w:uiPriority w:val="9"/>
    <w:unhideWhenUsed/>
    <w:qFormat/>
    <w:rsid w:val="009712CC"/>
    <w:pPr>
      <w:spacing w:before="240" w:after="60"/>
      <w:outlineLvl w:val="5"/>
    </w:pPr>
    <w:rPr>
      <w:rFonts w:cs="Times New Roman"/>
      <w:bCs/>
      <w:szCs w:val="22"/>
    </w:rPr>
  </w:style>
  <w:style w:type="paragraph" w:styleId="Heading7">
    <w:name w:val="heading 7"/>
    <w:basedOn w:val="TableFigure"/>
    <w:next w:val="Normal"/>
    <w:link w:val="Heading7Char"/>
    <w:uiPriority w:val="1"/>
    <w:unhideWhenUsed/>
    <w:qFormat/>
    <w:locked/>
    <w:rsid w:val="00E32AAD"/>
    <w:pPr>
      <w:outlineLvl w:val="6"/>
    </w:pPr>
    <w:rPr>
      <w:sz w:val="21"/>
      <w:szCs w:val="21"/>
    </w:rPr>
  </w:style>
  <w:style w:type="paragraph" w:styleId="Heading8">
    <w:name w:val="heading 8"/>
    <w:basedOn w:val="Normal"/>
    <w:next w:val="Normal"/>
    <w:link w:val="Heading8Char"/>
    <w:uiPriority w:val="1"/>
    <w:unhideWhenUsed/>
    <w:qFormat/>
    <w:locked/>
    <w:rsid w:val="008A10C1"/>
    <w:pPr>
      <w:spacing w:before="240" w:after="60"/>
      <w:outlineLvl w:val="7"/>
    </w:pPr>
    <w:rPr>
      <w:rFonts w:ascii="Calibri" w:hAnsi="Calibri" w:cs="Times New Roman"/>
      <w:i/>
      <w:iCs/>
      <w:sz w:val="24"/>
      <w:szCs w:val="24"/>
    </w:rPr>
  </w:style>
  <w:style w:type="paragraph" w:styleId="Heading9">
    <w:name w:val="heading 9"/>
    <w:basedOn w:val="Normal"/>
    <w:next w:val="Normal"/>
    <w:link w:val="Heading9Char"/>
    <w:uiPriority w:val="1"/>
    <w:unhideWhenUsed/>
    <w:qFormat/>
    <w:locked/>
    <w:rsid w:val="008A10C1"/>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392640"/>
    <w:rPr>
      <w:rFonts w:eastAsia="Calibri" w:cs="Arial"/>
      <w:bCs/>
      <w:iCs/>
      <w:color w:val="595959" w:themeColor="text1" w:themeTint="A6"/>
      <w:sz w:val="32"/>
      <w:szCs w:val="32"/>
      <w:lang w:eastAsia="en-US"/>
    </w:rPr>
  </w:style>
  <w:style w:type="table" w:customStyle="1" w:styleId="Tablestyle-header">
    <w:name w:val="Table style - header"/>
    <w:basedOn w:val="TableNormal"/>
    <w:uiPriority w:val="99"/>
    <w:rsid w:val="00944FD1"/>
    <w:tblPr/>
  </w:style>
  <w:style w:type="character" w:customStyle="1" w:styleId="Heading1Char">
    <w:name w:val="Heading 1 Char"/>
    <w:link w:val="Heading1"/>
    <w:uiPriority w:val="9"/>
    <w:rsid w:val="001C5683"/>
    <w:rPr>
      <w:rFonts w:cs="Arial"/>
      <w:bCs/>
      <w:noProof/>
      <w:color w:val="262626" w:themeColor="text1" w:themeTint="D9"/>
      <w:kern w:val="32"/>
      <w:sz w:val="40"/>
      <w:szCs w:val="40"/>
      <w:lang w:eastAsia="en-US"/>
    </w:rPr>
  </w:style>
  <w:style w:type="character" w:customStyle="1" w:styleId="Heading3Char">
    <w:name w:val="Heading 3 Char"/>
    <w:link w:val="Heading3"/>
    <w:uiPriority w:val="9"/>
    <w:rsid w:val="007524AB"/>
    <w:rPr>
      <w:rFonts w:cs="Arial"/>
      <w:bCs/>
      <w:color w:val="7F7F7F"/>
      <w:sz w:val="26"/>
      <w:szCs w:val="26"/>
      <w:lang w:eastAsia="en-US"/>
    </w:rPr>
  </w:style>
  <w:style w:type="paragraph" w:customStyle="1" w:styleId="Contactdetails">
    <w:name w:val="Contact details"/>
    <w:qFormat/>
    <w:rsid w:val="00596687"/>
    <w:pPr>
      <w:tabs>
        <w:tab w:val="left" w:pos="2552"/>
      </w:tabs>
      <w:spacing w:after="120"/>
      <w:ind w:left="1843" w:hanging="1843"/>
    </w:pPr>
    <w:rPr>
      <w:rFonts w:cs="Arial"/>
      <w:color w:val="006E89"/>
      <w:sz w:val="21"/>
      <w:szCs w:val="21"/>
      <w:lang w:val="en-US"/>
    </w:rPr>
  </w:style>
  <w:style w:type="paragraph" w:styleId="BodyText">
    <w:name w:val="Body Text"/>
    <w:basedOn w:val="Normal"/>
    <w:link w:val="BodyTextChar"/>
    <w:uiPriority w:val="1"/>
    <w:qFormat/>
    <w:rsid w:val="00EE3D98"/>
  </w:style>
  <w:style w:type="character" w:customStyle="1" w:styleId="BodyTextChar">
    <w:name w:val="Body Text Char"/>
    <w:link w:val="BodyText"/>
    <w:uiPriority w:val="1"/>
    <w:rsid w:val="00EE3D98"/>
    <w:rPr>
      <w:rFonts w:ascii="Arial" w:hAnsi="Arial" w:cs="Arial"/>
      <w:sz w:val="21"/>
      <w:szCs w:val="21"/>
      <w:lang w:val="en-US"/>
    </w:rPr>
  </w:style>
  <w:style w:type="paragraph" w:styleId="Footer">
    <w:name w:val="footer"/>
    <w:basedOn w:val="Normal"/>
    <w:link w:val="FooterChar"/>
    <w:uiPriority w:val="99"/>
    <w:rsid w:val="009F5922"/>
    <w:pPr>
      <w:tabs>
        <w:tab w:val="center" w:pos="4153"/>
        <w:tab w:val="right" w:pos="9639"/>
        <w:tab w:val="right" w:pos="14601"/>
      </w:tabs>
    </w:pPr>
    <w:rPr>
      <w:noProof/>
      <w:color w:val="7F7F7F" w:themeColor="text1" w:themeTint="80"/>
      <w:sz w:val="16"/>
      <w:szCs w:val="16"/>
    </w:rPr>
  </w:style>
  <w:style w:type="character" w:customStyle="1" w:styleId="FooterChar">
    <w:name w:val="Footer Char"/>
    <w:link w:val="Footer"/>
    <w:uiPriority w:val="99"/>
    <w:rsid w:val="009F5922"/>
    <w:rPr>
      <w:rFonts w:cs="Arial"/>
      <w:noProof/>
      <w:color w:val="7F7F7F" w:themeColor="text1" w:themeTint="80"/>
      <w:sz w:val="16"/>
      <w:szCs w:val="16"/>
    </w:rPr>
  </w:style>
  <w:style w:type="paragraph" w:styleId="Header">
    <w:name w:val="header"/>
    <w:basedOn w:val="Normal"/>
    <w:link w:val="HeaderChar"/>
    <w:uiPriority w:val="99"/>
    <w:rsid w:val="009F5922"/>
    <w:pPr>
      <w:tabs>
        <w:tab w:val="center" w:pos="4153"/>
        <w:tab w:val="right" w:pos="8306"/>
      </w:tabs>
    </w:pPr>
    <w:rPr>
      <w:noProof/>
      <w:color w:val="7F7F7F" w:themeColor="text1" w:themeTint="80"/>
      <w:sz w:val="20"/>
    </w:rPr>
  </w:style>
  <w:style w:type="character" w:customStyle="1" w:styleId="HeaderChar">
    <w:name w:val="Header Char"/>
    <w:link w:val="Header"/>
    <w:uiPriority w:val="99"/>
    <w:rsid w:val="009F5922"/>
    <w:rPr>
      <w:rFonts w:cs="Arial"/>
      <w:noProof/>
      <w:color w:val="7F7F7F" w:themeColor="text1" w:themeTint="80"/>
      <w:szCs w:val="21"/>
      <w:lang w:val="en-US"/>
    </w:rPr>
  </w:style>
  <w:style w:type="paragraph" w:styleId="ListBullet">
    <w:name w:val="List Bullet"/>
    <w:basedOn w:val="Normal"/>
    <w:qFormat/>
    <w:rsid w:val="00F27225"/>
    <w:pPr>
      <w:numPr>
        <w:numId w:val="1"/>
      </w:numPr>
      <w:spacing w:after="120"/>
      <w:contextualSpacing/>
    </w:pPr>
  </w:style>
  <w:style w:type="paragraph" w:styleId="ListBullet2">
    <w:name w:val="List Bullet 2"/>
    <w:basedOn w:val="ListBullet"/>
    <w:qFormat/>
    <w:rsid w:val="00F27225"/>
    <w:pPr>
      <w:numPr>
        <w:numId w:val="0"/>
      </w:numPr>
    </w:pPr>
  </w:style>
  <w:style w:type="paragraph" w:styleId="ListNumber">
    <w:name w:val="List Number"/>
    <w:basedOn w:val="Normal"/>
    <w:rsid w:val="00F27225"/>
    <w:pPr>
      <w:numPr>
        <w:numId w:val="3"/>
      </w:numPr>
      <w:spacing w:after="120"/>
      <w:ind w:left="357" w:hanging="357"/>
      <w:contextualSpacing/>
    </w:pPr>
  </w:style>
  <w:style w:type="paragraph" w:customStyle="1" w:styleId="Contactheader">
    <w:name w:val="Contact header"/>
    <w:qFormat/>
    <w:rsid w:val="00596687"/>
    <w:pPr>
      <w:spacing w:after="120"/>
    </w:pPr>
    <w:rPr>
      <w:rFonts w:cs="Arial"/>
      <w:b/>
      <w:color w:val="006E89"/>
      <w:sz w:val="21"/>
      <w:szCs w:val="21"/>
      <w:lang w:val="en-US"/>
    </w:rPr>
  </w:style>
  <w:style w:type="character" w:styleId="PageNumber">
    <w:name w:val="page number"/>
    <w:rsid w:val="00A320B9"/>
  </w:style>
  <w:style w:type="character" w:customStyle="1" w:styleId="Heading4Char">
    <w:name w:val="Heading 4 Char"/>
    <w:link w:val="Heading4"/>
    <w:uiPriority w:val="9"/>
    <w:rsid w:val="00D21656"/>
    <w:rPr>
      <w:rFonts w:eastAsia="Calibri" w:cs="Arial"/>
      <w:b/>
      <w:sz w:val="23"/>
      <w:szCs w:val="23"/>
      <w:lang w:val="en-US" w:eastAsia="en-US"/>
    </w:rPr>
  </w:style>
  <w:style w:type="character" w:styleId="IntenseReference">
    <w:name w:val="Intense Reference"/>
    <w:uiPriority w:val="32"/>
    <w:locked/>
    <w:rsid w:val="009A76C8"/>
  </w:style>
  <w:style w:type="paragraph" w:styleId="ListContinue">
    <w:name w:val="List Continue"/>
    <w:basedOn w:val="Normal"/>
    <w:rsid w:val="00A320B9"/>
    <w:pPr>
      <w:spacing w:after="120"/>
      <w:ind w:left="426"/>
      <w:contextualSpacing/>
    </w:pPr>
  </w:style>
  <w:style w:type="paragraph" w:customStyle="1" w:styleId="Tableheader">
    <w:name w:val="Table header"/>
    <w:qFormat/>
    <w:rsid w:val="00814EBE"/>
    <w:pPr>
      <w:shd w:val="clear" w:color="auto" w:fill="7F7F7F"/>
      <w:ind w:left="142"/>
    </w:pPr>
    <w:rPr>
      <w:rFonts w:cs="Arial"/>
      <w:color w:val="FFFFFF"/>
      <w:sz w:val="21"/>
      <w:szCs w:val="21"/>
      <w:lang w:val="en-US"/>
    </w:rPr>
  </w:style>
  <w:style w:type="paragraph" w:customStyle="1" w:styleId="Tabletext">
    <w:name w:val="Table text"/>
    <w:uiPriority w:val="99"/>
    <w:qFormat/>
    <w:rsid w:val="00814EBE"/>
    <w:pPr>
      <w:spacing w:before="40" w:after="40"/>
      <w:ind w:left="142"/>
    </w:pPr>
    <w:rPr>
      <w:rFonts w:cs="Arial"/>
      <w:sz w:val="19"/>
      <w:szCs w:val="19"/>
      <w:lang w:val="en-US"/>
    </w:rPr>
  </w:style>
  <w:style w:type="paragraph" w:customStyle="1" w:styleId="TableFigure">
    <w:name w:val="Table/Figure #"/>
    <w:qFormat/>
    <w:rsid w:val="0095525B"/>
    <w:pPr>
      <w:tabs>
        <w:tab w:val="left" w:pos="567"/>
      </w:tabs>
      <w:spacing w:before="200" w:after="60"/>
    </w:pPr>
    <w:rPr>
      <w:rFonts w:cs="Arial"/>
      <w:i/>
      <w:color w:val="7F7F7F"/>
      <w:sz w:val="18"/>
      <w:szCs w:val="18"/>
      <w:lang w:val="en-US"/>
    </w:rPr>
  </w:style>
  <w:style w:type="paragraph" w:styleId="TOC1">
    <w:name w:val="toc 1"/>
    <w:basedOn w:val="Normal"/>
    <w:next w:val="Normal"/>
    <w:autoRedefine/>
    <w:uiPriority w:val="39"/>
    <w:qFormat/>
    <w:rsid w:val="009C7777"/>
    <w:pPr>
      <w:tabs>
        <w:tab w:val="right" w:pos="10348"/>
      </w:tabs>
      <w:spacing w:before="120" w:after="0"/>
    </w:pPr>
    <w:rPr>
      <w:rFonts w:eastAsia="Calibri"/>
      <w:b/>
      <w:bCs/>
      <w:noProof/>
      <w:sz w:val="24"/>
      <w:szCs w:val="24"/>
    </w:rPr>
  </w:style>
  <w:style w:type="paragraph" w:styleId="TOC2">
    <w:name w:val="toc 2"/>
    <w:basedOn w:val="Normal"/>
    <w:next w:val="Normal"/>
    <w:autoRedefine/>
    <w:uiPriority w:val="39"/>
    <w:qFormat/>
    <w:rsid w:val="00B00C91"/>
    <w:pPr>
      <w:tabs>
        <w:tab w:val="right" w:pos="10348"/>
      </w:tabs>
      <w:spacing w:before="60" w:after="0"/>
      <w:ind w:left="210"/>
    </w:pPr>
    <w:rPr>
      <w:noProof/>
      <w:sz w:val="22"/>
      <w:szCs w:val="22"/>
    </w:rPr>
  </w:style>
  <w:style w:type="paragraph" w:styleId="TOC3">
    <w:name w:val="toc 3"/>
    <w:basedOn w:val="Normal"/>
    <w:next w:val="Normal"/>
    <w:autoRedefine/>
    <w:uiPriority w:val="39"/>
    <w:qFormat/>
    <w:rsid w:val="0033276A"/>
    <w:pPr>
      <w:spacing w:after="0"/>
      <w:ind w:left="420"/>
    </w:pPr>
    <w:rPr>
      <w:rFonts w:asciiTheme="minorHAnsi" w:hAnsiTheme="minorHAnsi"/>
      <w:sz w:val="20"/>
      <w:szCs w:val="20"/>
    </w:rPr>
  </w:style>
  <w:style w:type="paragraph" w:styleId="TOCHeading">
    <w:name w:val="TOC Heading"/>
    <w:next w:val="Normal"/>
    <w:uiPriority w:val="39"/>
    <w:unhideWhenUsed/>
    <w:qFormat/>
    <w:rsid w:val="00A62D66"/>
    <w:pPr>
      <w:pageBreakBefore/>
      <w:spacing w:after="180" w:line="276" w:lineRule="auto"/>
    </w:pPr>
    <w:rPr>
      <w:rFonts w:cs="Arial"/>
      <w:bCs/>
      <w:iCs/>
      <w:noProof/>
      <w:color w:val="000000" w:themeColor="text1"/>
      <w:sz w:val="36"/>
      <w:szCs w:val="36"/>
    </w:rPr>
  </w:style>
  <w:style w:type="character" w:styleId="Hyperlink">
    <w:name w:val="Hyperlink"/>
    <w:uiPriority w:val="99"/>
    <w:unhideWhenUsed/>
    <w:rsid w:val="00E1387B"/>
    <w:rPr>
      <w:color w:val="0000FF"/>
      <w:u w:val="single"/>
    </w:rPr>
  </w:style>
  <w:style w:type="character" w:styleId="Strong">
    <w:name w:val="Strong"/>
    <w:uiPriority w:val="22"/>
    <w:qFormat/>
    <w:rsid w:val="00A320B9"/>
    <w:rPr>
      <w:b/>
      <w:bCs/>
    </w:rPr>
  </w:style>
  <w:style w:type="table" w:styleId="TableGrid">
    <w:name w:val="Table Grid"/>
    <w:basedOn w:val="TableNormal"/>
    <w:locked/>
    <w:rsid w:val="00A320B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
    <w:name w:val="Table bullet"/>
    <w:qFormat/>
    <w:rsid w:val="00742149"/>
    <w:pPr>
      <w:numPr>
        <w:numId w:val="4"/>
      </w:numPr>
      <w:spacing w:before="40" w:after="40"/>
      <w:ind w:left="426" w:hanging="284"/>
    </w:pPr>
    <w:rPr>
      <w:rFonts w:cs="Arial"/>
      <w:sz w:val="19"/>
      <w:szCs w:val="19"/>
      <w:lang w:val="en-US"/>
    </w:rPr>
  </w:style>
  <w:style w:type="paragraph" w:customStyle="1" w:styleId="Coverpagebranchname">
    <w:name w:val="Cover page: branch name"/>
    <w:qFormat/>
    <w:rsid w:val="001D798A"/>
    <w:pPr>
      <w:spacing w:after="200"/>
    </w:pPr>
    <w:rPr>
      <w:rFonts w:cs="Arial"/>
      <w:bCs/>
      <w:color w:val="FFFFFF"/>
      <w:kern w:val="32"/>
      <w:sz w:val="28"/>
      <w:szCs w:val="28"/>
      <w:lang w:val="en-US"/>
    </w:rPr>
  </w:style>
  <w:style w:type="paragraph" w:customStyle="1" w:styleId="Coverpagetitle">
    <w:name w:val="Cover page: title"/>
    <w:qFormat/>
    <w:rsid w:val="00E1387B"/>
    <w:pPr>
      <w:spacing w:after="500"/>
    </w:pPr>
    <w:rPr>
      <w:rFonts w:cs="Arial"/>
      <w:bCs/>
      <w:color w:val="FFFFFF"/>
      <w:kern w:val="32"/>
      <w:sz w:val="60"/>
      <w:szCs w:val="60"/>
      <w:lang w:val="en-US"/>
    </w:rPr>
  </w:style>
  <w:style w:type="paragraph" w:customStyle="1" w:styleId="Coverpageyear">
    <w:name w:val="Cover page: year"/>
    <w:qFormat/>
    <w:rsid w:val="00E1387B"/>
    <w:pPr>
      <w:spacing w:after="120"/>
    </w:pPr>
    <w:rPr>
      <w:rFonts w:cs="Arial"/>
      <w:color w:val="FFFFFF"/>
      <w:sz w:val="28"/>
      <w:szCs w:val="28"/>
    </w:rPr>
  </w:style>
  <w:style w:type="numbering" w:customStyle="1" w:styleId="Headings">
    <w:name w:val="Headings"/>
    <w:uiPriority w:val="99"/>
    <w:rsid w:val="00AC7596"/>
    <w:pPr>
      <w:numPr>
        <w:numId w:val="5"/>
      </w:numPr>
    </w:pPr>
  </w:style>
  <w:style w:type="paragraph" w:styleId="EndnoteText">
    <w:name w:val="endnote text"/>
    <w:basedOn w:val="Normal"/>
    <w:link w:val="EndnoteTextChar"/>
    <w:uiPriority w:val="99"/>
    <w:unhideWhenUsed/>
    <w:rsid w:val="0030783B"/>
    <w:pPr>
      <w:spacing w:after="40" w:line="240" w:lineRule="auto"/>
    </w:pPr>
    <w:rPr>
      <w:sz w:val="18"/>
      <w:szCs w:val="18"/>
    </w:rPr>
  </w:style>
  <w:style w:type="character" w:customStyle="1" w:styleId="EndnoteTextChar">
    <w:name w:val="Endnote Text Char"/>
    <w:link w:val="EndnoteText"/>
    <w:uiPriority w:val="99"/>
    <w:rsid w:val="0030783B"/>
    <w:rPr>
      <w:rFonts w:cs="Arial"/>
      <w:sz w:val="18"/>
      <w:szCs w:val="18"/>
      <w:lang w:val="en-US"/>
    </w:rPr>
  </w:style>
  <w:style w:type="character" w:styleId="EndnoteReference">
    <w:name w:val="endnote reference"/>
    <w:uiPriority w:val="99"/>
    <w:unhideWhenUsed/>
    <w:rsid w:val="0030783B"/>
    <w:rPr>
      <w:sz w:val="16"/>
      <w:szCs w:val="16"/>
    </w:rPr>
  </w:style>
  <w:style w:type="character" w:styleId="SubtleReference">
    <w:name w:val="Subtle Reference"/>
    <w:aliases w:val="Legislation"/>
    <w:uiPriority w:val="31"/>
    <w:rsid w:val="0095525B"/>
    <w:rPr>
      <w:i/>
    </w:rPr>
  </w:style>
  <w:style w:type="character" w:styleId="IntenseEmphasis">
    <w:name w:val="Intense Emphasis"/>
    <w:uiPriority w:val="21"/>
    <w:locked/>
    <w:rsid w:val="009A76C8"/>
    <w:rPr>
      <w:i/>
    </w:rPr>
  </w:style>
  <w:style w:type="character" w:customStyle="1" w:styleId="Heading5Char">
    <w:name w:val="Heading 5 Char"/>
    <w:link w:val="Heading5"/>
    <w:uiPriority w:val="9"/>
    <w:rsid w:val="00D21656"/>
    <w:rPr>
      <w:rFonts w:eastAsia="Calibri" w:cs="Arial"/>
      <w:b/>
      <w:i/>
      <w:sz w:val="21"/>
      <w:szCs w:val="21"/>
      <w:lang w:val="en-US" w:eastAsia="en-US"/>
    </w:rPr>
  </w:style>
  <w:style w:type="character" w:styleId="PlaceholderText">
    <w:name w:val="Placeholder Text"/>
    <w:uiPriority w:val="99"/>
    <w:semiHidden/>
    <w:locked/>
    <w:rsid w:val="0095525B"/>
    <w:rPr>
      <w:color w:val="808080"/>
    </w:rPr>
  </w:style>
  <w:style w:type="paragraph" w:styleId="BalloonText">
    <w:name w:val="Balloon Text"/>
    <w:basedOn w:val="Normal"/>
    <w:link w:val="BalloonTextChar"/>
    <w:uiPriority w:val="99"/>
    <w:semiHidden/>
    <w:unhideWhenUsed/>
    <w:locked/>
    <w:rsid w:val="0095525B"/>
    <w:pPr>
      <w:spacing w:after="0" w:line="240" w:lineRule="auto"/>
    </w:pPr>
    <w:rPr>
      <w:rFonts w:ascii="Tahoma" w:hAnsi="Tahoma" w:cs="Tahoma"/>
      <w:sz w:val="16"/>
      <w:szCs w:val="16"/>
    </w:rPr>
  </w:style>
  <w:style w:type="paragraph" w:styleId="BlockText">
    <w:name w:val="Block Text"/>
    <w:basedOn w:val="Normal"/>
    <w:uiPriority w:val="99"/>
    <w:unhideWhenUsed/>
    <w:rsid w:val="006902E5"/>
    <w:pPr>
      <w:pBdr>
        <w:top w:val="single" w:sz="2" w:space="1" w:color="5C215E"/>
        <w:bottom w:val="single" w:sz="2" w:space="1" w:color="5C215E"/>
      </w:pBdr>
      <w:spacing w:before="300" w:after="300"/>
      <w:ind w:right="126"/>
    </w:pPr>
    <w:rPr>
      <w:i/>
      <w:color w:val="55C5CA"/>
      <w:sz w:val="24"/>
      <w:szCs w:val="24"/>
    </w:rPr>
  </w:style>
  <w:style w:type="character" w:customStyle="1" w:styleId="Heading6Char">
    <w:name w:val="Heading 6 Char"/>
    <w:link w:val="Heading6"/>
    <w:uiPriority w:val="1"/>
    <w:rsid w:val="009712CC"/>
    <w:rPr>
      <w:bCs/>
      <w:sz w:val="21"/>
      <w:szCs w:val="22"/>
    </w:rPr>
  </w:style>
  <w:style w:type="character" w:customStyle="1" w:styleId="Heading7Char">
    <w:name w:val="Heading 7 Char"/>
    <w:link w:val="Heading7"/>
    <w:uiPriority w:val="1"/>
    <w:rsid w:val="00E32AAD"/>
    <w:rPr>
      <w:rFonts w:cs="Arial"/>
      <w:i/>
      <w:color w:val="7F7F7F"/>
      <w:sz w:val="21"/>
      <w:szCs w:val="21"/>
      <w:lang w:val="en-US"/>
    </w:rPr>
  </w:style>
  <w:style w:type="character" w:customStyle="1" w:styleId="Heading8Char">
    <w:name w:val="Heading 8 Char"/>
    <w:link w:val="Heading8"/>
    <w:uiPriority w:val="1"/>
    <w:rsid w:val="008A10C1"/>
    <w:rPr>
      <w:rFonts w:ascii="Calibri" w:hAnsi="Calibri"/>
      <w:i/>
      <w:iCs/>
      <w:sz w:val="24"/>
      <w:szCs w:val="24"/>
    </w:rPr>
  </w:style>
  <w:style w:type="character" w:customStyle="1" w:styleId="Heading9Char">
    <w:name w:val="Heading 9 Char"/>
    <w:link w:val="Heading9"/>
    <w:uiPriority w:val="1"/>
    <w:rsid w:val="008A10C1"/>
    <w:rPr>
      <w:rFonts w:ascii="Cambria" w:hAnsi="Cambria"/>
      <w:sz w:val="22"/>
      <w:szCs w:val="22"/>
    </w:rPr>
  </w:style>
  <w:style w:type="character" w:customStyle="1" w:styleId="BalloonTextChar">
    <w:name w:val="Balloon Text Char"/>
    <w:link w:val="BalloonText"/>
    <w:uiPriority w:val="99"/>
    <w:semiHidden/>
    <w:rsid w:val="0095525B"/>
    <w:rPr>
      <w:rFonts w:ascii="Tahoma" w:hAnsi="Tahoma" w:cs="Tahoma"/>
      <w:sz w:val="16"/>
      <w:szCs w:val="16"/>
      <w:lang w:val="en-US"/>
    </w:rPr>
  </w:style>
  <w:style w:type="paragraph" w:customStyle="1" w:styleId="bullet">
    <w:name w:val="bullet"/>
    <w:basedOn w:val="ListBullet"/>
    <w:qFormat/>
    <w:rsid w:val="00C06C34"/>
  </w:style>
  <w:style w:type="paragraph" w:customStyle="1" w:styleId="secondarybullet">
    <w:name w:val="secondary bullet"/>
    <w:basedOn w:val="Normal"/>
    <w:qFormat/>
    <w:rsid w:val="00C06C34"/>
    <w:pPr>
      <w:numPr>
        <w:ilvl w:val="3"/>
        <w:numId w:val="6"/>
      </w:numPr>
      <w:tabs>
        <w:tab w:val="left" w:pos="1134"/>
      </w:tabs>
      <w:autoSpaceDE w:val="0"/>
      <w:autoSpaceDN w:val="0"/>
      <w:adjustRightInd w:val="0"/>
      <w:spacing w:after="0" w:line="240" w:lineRule="auto"/>
      <w:ind w:left="1134" w:hanging="567"/>
    </w:pPr>
    <w:rPr>
      <w:color w:val="000000"/>
      <w:sz w:val="22"/>
      <w:szCs w:val="22"/>
    </w:rPr>
  </w:style>
  <w:style w:type="paragraph" w:styleId="ListParagraph">
    <w:name w:val="List Paragraph"/>
    <w:aliases w:val="List Paragraph1,List Paragraph11,Recommendation,Bullet point,Bulleted List,NAST Quote,List Paragraph Number,Bulleted Para,NFP GP Bulleted List,bullet point list,L,Bullet points,Content descriptions,Bullet Point,List Paragraph2,Dot pt,列出段落"/>
    <w:basedOn w:val="Normal"/>
    <w:link w:val="ListParagraphChar"/>
    <w:uiPriority w:val="34"/>
    <w:qFormat/>
    <w:rsid w:val="00EC50A2"/>
    <w:pPr>
      <w:ind w:left="720"/>
      <w:contextualSpacing/>
    </w:pPr>
  </w:style>
  <w:style w:type="paragraph" w:customStyle="1" w:styleId="TableParagraph">
    <w:name w:val="Table Paragraph"/>
    <w:basedOn w:val="Normal"/>
    <w:uiPriority w:val="1"/>
    <w:qFormat/>
    <w:rsid w:val="00D53EA9"/>
    <w:pPr>
      <w:widowControl w:val="0"/>
      <w:spacing w:after="0" w:line="240" w:lineRule="auto"/>
    </w:pPr>
    <w:rPr>
      <w:rFonts w:ascii="Calibri" w:eastAsia="Calibri" w:hAnsi="Calibri" w:cs="Times New Roman"/>
      <w:sz w:val="22"/>
      <w:szCs w:val="22"/>
      <w:lang w:eastAsia="en-US"/>
    </w:rPr>
  </w:style>
  <w:style w:type="numbering" w:customStyle="1" w:styleId="NoList1">
    <w:name w:val="No List1"/>
    <w:next w:val="NoList"/>
    <w:uiPriority w:val="99"/>
    <w:semiHidden/>
    <w:unhideWhenUsed/>
    <w:rsid w:val="002C51CF"/>
  </w:style>
  <w:style w:type="numbering" w:customStyle="1" w:styleId="NoList2">
    <w:name w:val="No List2"/>
    <w:next w:val="NoList"/>
    <w:uiPriority w:val="99"/>
    <w:semiHidden/>
    <w:unhideWhenUsed/>
    <w:rsid w:val="00FB48FC"/>
  </w:style>
  <w:style w:type="numbering" w:customStyle="1" w:styleId="NoList3">
    <w:name w:val="No List3"/>
    <w:next w:val="NoList"/>
    <w:uiPriority w:val="99"/>
    <w:semiHidden/>
    <w:unhideWhenUsed/>
    <w:rsid w:val="00926340"/>
  </w:style>
  <w:style w:type="table" w:customStyle="1" w:styleId="TableGrid1">
    <w:name w:val="Table Grid1"/>
    <w:basedOn w:val="TableNormal"/>
    <w:next w:val="TableGrid"/>
    <w:uiPriority w:val="39"/>
    <w:rsid w:val="007F619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locked/>
    <w:rsid w:val="000B34FA"/>
    <w:pPr>
      <w:spacing w:after="0"/>
      <w:ind w:left="630"/>
    </w:pPr>
    <w:rPr>
      <w:rFonts w:asciiTheme="minorHAnsi" w:hAnsiTheme="minorHAnsi"/>
      <w:sz w:val="20"/>
      <w:szCs w:val="20"/>
    </w:rPr>
  </w:style>
  <w:style w:type="paragraph" w:styleId="TOC5">
    <w:name w:val="toc 5"/>
    <w:basedOn w:val="Normal"/>
    <w:next w:val="Normal"/>
    <w:autoRedefine/>
    <w:uiPriority w:val="39"/>
    <w:unhideWhenUsed/>
    <w:locked/>
    <w:rsid w:val="000B34FA"/>
    <w:pPr>
      <w:spacing w:after="0"/>
      <w:ind w:left="840"/>
    </w:pPr>
    <w:rPr>
      <w:rFonts w:asciiTheme="minorHAnsi" w:hAnsiTheme="minorHAnsi"/>
      <w:sz w:val="20"/>
      <w:szCs w:val="20"/>
    </w:rPr>
  </w:style>
  <w:style w:type="paragraph" w:styleId="TOC6">
    <w:name w:val="toc 6"/>
    <w:basedOn w:val="Normal"/>
    <w:next w:val="Normal"/>
    <w:autoRedefine/>
    <w:uiPriority w:val="39"/>
    <w:unhideWhenUsed/>
    <w:locked/>
    <w:rsid w:val="000B34FA"/>
    <w:pPr>
      <w:spacing w:after="0"/>
      <w:ind w:left="1050"/>
    </w:pPr>
    <w:rPr>
      <w:rFonts w:asciiTheme="minorHAnsi" w:hAnsiTheme="minorHAnsi"/>
      <w:sz w:val="20"/>
      <w:szCs w:val="20"/>
    </w:rPr>
  </w:style>
  <w:style w:type="paragraph" w:styleId="TOC7">
    <w:name w:val="toc 7"/>
    <w:basedOn w:val="Normal"/>
    <w:next w:val="Normal"/>
    <w:autoRedefine/>
    <w:uiPriority w:val="39"/>
    <w:unhideWhenUsed/>
    <w:locked/>
    <w:rsid w:val="000B34FA"/>
    <w:pPr>
      <w:spacing w:after="0"/>
      <w:ind w:left="1260"/>
    </w:pPr>
    <w:rPr>
      <w:rFonts w:asciiTheme="minorHAnsi" w:hAnsiTheme="minorHAnsi"/>
      <w:sz w:val="20"/>
      <w:szCs w:val="20"/>
    </w:rPr>
  </w:style>
  <w:style w:type="paragraph" w:styleId="TOC8">
    <w:name w:val="toc 8"/>
    <w:basedOn w:val="Normal"/>
    <w:next w:val="Normal"/>
    <w:autoRedefine/>
    <w:uiPriority w:val="39"/>
    <w:unhideWhenUsed/>
    <w:locked/>
    <w:rsid w:val="000B34FA"/>
    <w:pPr>
      <w:spacing w:after="0"/>
      <w:ind w:left="1470"/>
    </w:pPr>
    <w:rPr>
      <w:rFonts w:asciiTheme="minorHAnsi" w:hAnsiTheme="minorHAnsi"/>
      <w:sz w:val="20"/>
      <w:szCs w:val="20"/>
    </w:rPr>
  </w:style>
  <w:style w:type="paragraph" w:styleId="TOC9">
    <w:name w:val="toc 9"/>
    <w:basedOn w:val="Normal"/>
    <w:next w:val="Normal"/>
    <w:autoRedefine/>
    <w:uiPriority w:val="39"/>
    <w:unhideWhenUsed/>
    <w:locked/>
    <w:rsid w:val="000B34FA"/>
    <w:pPr>
      <w:spacing w:after="0"/>
      <w:ind w:left="1680"/>
    </w:pPr>
    <w:rPr>
      <w:rFonts w:asciiTheme="minorHAnsi" w:hAnsiTheme="minorHAnsi"/>
      <w:sz w:val="20"/>
      <w:szCs w:val="20"/>
    </w:rPr>
  </w:style>
  <w:style w:type="paragraph" w:styleId="NormalWeb">
    <w:name w:val="Normal (Web)"/>
    <w:basedOn w:val="Normal"/>
    <w:uiPriority w:val="99"/>
    <w:semiHidden/>
    <w:unhideWhenUsed/>
    <w:locked/>
    <w:rsid w:val="00421255"/>
    <w:pPr>
      <w:spacing w:before="120" w:after="24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locked/>
    <w:rsid w:val="00E05DD3"/>
    <w:rPr>
      <w:sz w:val="16"/>
      <w:szCs w:val="16"/>
    </w:rPr>
  </w:style>
  <w:style w:type="paragraph" w:styleId="CommentText">
    <w:name w:val="annotation text"/>
    <w:basedOn w:val="Normal"/>
    <w:link w:val="CommentTextChar"/>
    <w:uiPriority w:val="99"/>
    <w:semiHidden/>
    <w:unhideWhenUsed/>
    <w:locked/>
    <w:rsid w:val="00E05DD3"/>
    <w:pPr>
      <w:spacing w:after="160" w:line="240" w:lineRule="auto"/>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E05DD3"/>
    <w:rPr>
      <w:rFonts w:asciiTheme="minorHAnsi" w:eastAsiaTheme="minorHAnsi" w:hAnsiTheme="minorHAnsi" w:cstheme="minorBidi"/>
      <w:lang w:eastAsia="en-US"/>
    </w:rPr>
  </w:style>
  <w:style w:type="table" w:customStyle="1" w:styleId="TableGrid2">
    <w:name w:val="Table Grid2"/>
    <w:basedOn w:val="TableNormal"/>
    <w:next w:val="TableGrid"/>
    <w:uiPriority w:val="39"/>
    <w:rsid w:val="009950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D4B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locked/>
    <w:rsid w:val="00FE0619"/>
    <w:rPr>
      <w:color w:val="800080" w:themeColor="followedHyperlink"/>
      <w:u w:val="single"/>
    </w:rPr>
  </w:style>
  <w:style w:type="paragraph" w:styleId="CommentSubject">
    <w:name w:val="annotation subject"/>
    <w:basedOn w:val="CommentText"/>
    <w:next w:val="CommentText"/>
    <w:link w:val="CommentSubjectChar"/>
    <w:uiPriority w:val="99"/>
    <w:semiHidden/>
    <w:unhideWhenUsed/>
    <w:locked/>
    <w:rsid w:val="00161D6A"/>
    <w:pPr>
      <w:spacing w:after="200"/>
    </w:pPr>
    <w:rPr>
      <w:rFonts w:ascii="Arial" w:eastAsia="Times New Roman" w:hAnsi="Arial" w:cs="Arial"/>
      <w:b/>
      <w:bCs/>
      <w:lang w:val="en-US" w:eastAsia="en-AU"/>
    </w:rPr>
  </w:style>
  <w:style w:type="character" w:customStyle="1" w:styleId="CommentSubjectChar">
    <w:name w:val="Comment Subject Char"/>
    <w:basedOn w:val="CommentTextChar"/>
    <w:link w:val="CommentSubject"/>
    <w:uiPriority w:val="99"/>
    <w:semiHidden/>
    <w:rsid w:val="00161D6A"/>
    <w:rPr>
      <w:rFonts w:asciiTheme="minorHAnsi" w:eastAsiaTheme="minorHAnsi" w:hAnsiTheme="minorHAnsi" w:cs="Arial"/>
      <w:b/>
      <w:bCs/>
      <w:lang w:val="en-US" w:eastAsia="en-US"/>
    </w:rPr>
  </w:style>
  <w:style w:type="paragraph" w:styleId="Revision">
    <w:name w:val="Revision"/>
    <w:hidden/>
    <w:uiPriority w:val="99"/>
    <w:semiHidden/>
    <w:rsid w:val="00EB3875"/>
    <w:rPr>
      <w:rFonts w:cs="Arial"/>
      <w:sz w:val="21"/>
      <w:szCs w:val="21"/>
    </w:rPr>
  </w:style>
  <w:style w:type="numbering" w:customStyle="1" w:styleId="NoList4">
    <w:name w:val="No List4"/>
    <w:next w:val="NoList"/>
    <w:uiPriority w:val="99"/>
    <w:semiHidden/>
    <w:unhideWhenUsed/>
    <w:rsid w:val="00F86D83"/>
  </w:style>
  <w:style w:type="paragraph" w:customStyle="1" w:styleId="Default">
    <w:name w:val="Default"/>
    <w:rsid w:val="00B610F0"/>
    <w:pPr>
      <w:autoSpaceDE w:val="0"/>
      <w:autoSpaceDN w:val="0"/>
      <w:adjustRightInd w:val="0"/>
    </w:pPr>
    <w:rPr>
      <w:rFonts w:cs="Arial"/>
      <w:color w:val="000000"/>
      <w:sz w:val="24"/>
      <w:szCs w:val="24"/>
    </w:rPr>
  </w:style>
  <w:style w:type="character" w:styleId="FootnoteReference">
    <w:name w:val="footnote reference"/>
    <w:basedOn w:val="DefaultParagraphFont"/>
    <w:uiPriority w:val="99"/>
    <w:semiHidden/>
    <w:unhideWhenUsed/>
    <w:rsid w:val="00831F08"/>
    <w:rPr>
      <w:vertAlign w:val="superscript"/>
    </w:rPr>
  </w:style>
  <w:style w:type="character" w:customStyle="1" w:styleId="UnresolvedMention1">
    <w:name w:val="Unresolved Mention1"/>
    <w:basedOn w:val="DefaultParagraphFont"/>
    <w:uiPriority w:val="99"/>
    <w:semiHidden/>
    <w:unhideWhenUsed/>
    <w:rsid w:val="00FA0C4B"/>
    <w:rPr>
      <w:color w:val="605E5C"/>
      <w:shd w:val="clear" w:color="auto" w:fill="E1DFDD"/>
    </w:rPr>
  </w:style>
  <w:style w:type="numbering" w:customStyle="1" w:styleId="NoList5">
    <w:name w:val="No List5"/>
    <w:next w:val="NoList"/>
    <w:uiPriority w:val="99"/>
    <w:semiHidden/>
    <w:unhideWhenUsed/>
    <w:rsid w:val="00C90D37"/>
  </w:style>
  <w:style w:type="numbering" w:customStyle="1" w:styleId="NoList6">
    <w:name w:val="No List6"/>
    <w:next w:val="NoList"/>
    <w:uiPriority w:val="99"/>
    <w:semiHidden/>
    <w:unhideWhenUsed/>
    <w:rsid w:val="001426EA"/>
  </w:style>
  <w:style w:type="numbering" w:customStyle="1" w:styleId="NoList7">
    <w:name w:val="No List7"/>
    <w:next w:val="NoList"/>
    <w:uiPriority w:val="99"/>
    <w:semiHidden/>
    <w:unhideWhenUsed/>
    <w:rsid w:val="001426EA"/>
  </w:style>
  <w:style w:type="numbering" w:customStyle="1" w:styleId="NoList8">
    <w:name w:val="No List8"/>
    <w:next w:val="NoList"/>
    <w:uiPriority w:val="99"/>
    <w:semiHidden/>
    <w:unhideWhenUsed/>
    <w:rsid w:val="00A31C9B"/>
  </w:style>
  <w:style w:type="paragraph" w:customStyle="1" w:styleId="Paragraph">
    <w:name w:val="Paragraph"/>
    <w:basedOn w:val="Normal"/>
    <w:qFormat/>
    <w:rsid w:val="00C36502"/>
    <w:pPr>
      <w:overflowPunct w:val="0"/>
      <w:autoSpaceDE w:val="0"/>
      <w:autoSpaceDN w:val="0"/>
      <w:adjustRightInd w:val="0"/>
      <w:spacing w:line="240" w:lineRule="auto"/>
      <w:ind w:left="567" w:hanging="567"/>
    </w:pPr>
    <w:rPr>
      <w:rFonts w:cs="Times New Roman"/>
      <w:sz w:val="22"/>
      <w:szCs w:val="20"/>
      <w:lang w:eastAsia="en-US"/>
    </w:rPr>
  </w:style>
  <w:style w:type="character" w:styleId="Emphasis">
    <w:name w:val="Emphasis"/>
    <w:basedOn w:val="DefaultParagraphFont"/>
    <w:uiPriority w:val="20"/>
    <w:qFormat/>
    <w:locked/>
    <w:rsid w:val="00CA7961"/>
    <w:rPr>
      <w:i/>
      <w:iCs/>
    </w:rPr>
  </w:style>
  <w:style w:type="table" w:customStyle="1" w:styleId="TableGrid4">
    <w:name w:val="Table Grid4"/>
    <w:basedOn w:val="TableNormal"/>
    <w:next w:val="TableGrid"/>
    <w:uiPriority w:val="39"/>
    <w:rsid w:val="0016561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6561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30E7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qFormat/>
    <w:rsid w:val="00C5313E"/>
    <w:pPr>
      <w:numPr>
        <w:numId w:val="9"/>
      </w:numPr>
      <w:spacing w:after="113"/>
      <w:ind w:left="360"/>
    </w:pPr>
    <w:rPr>
      <w:rFonts w:eastAsiaTheme="minorHAnsi" w:cs="Arial"/>
      <w:sz w:val="22"/>
      <w:szCs w:val="22"/>
      <w:lang w:eastAsia="en-US"/>
    </w:rPr>
  </w:style>
  <w:style w:type="paragraph" w:customStyle="1" w:styleId="Tablebody">
    <w:name w:val="Table body"/>
    <w:basedOn w:val="Normal"/>
    <w:qFormat/>
    <w:rsid w:val="00886227"/>
    <w:pPr>
      <w:spacing w:after="227" w:line="240" w:lineRule="auto"/>
    </w:pPr>
    <w:rPr>
      <w:rFonts w:eastAsiaTheme="minorHAnsi"/>
      <w:sz w:val="20"/>
      <w:szCs w:val="20"/>
      <w:lang w:eastAsia="en-US"/>
    </w:rPr>
  </w:style>
  <w:style w:type="table" w:customStyle="1" w:styleId="TableGrid7">
    <w:name w:val="Table Grid7"/>
    <w:basedOn w:val="TableNormal"/>
    <w:next w:val="TableGrid"/>
    <w:uiPriority w:val="39"/>
    <w:rsid w:val="001249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1249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1249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F844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8532A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8532A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207D2"/>
    <w:rPr>
      <w:color w:val="605E5C"/>
      <w:shd w:val="clear" w:color="auto" w:fill="E1DFDD"/>
    </w:rPr>
  </w:style>
  <w:style w:type="character" w:customStyle="1" w:styleId="ListParagraphChar">
    <w:name w:val="List Paragraph Char"/>
    <w:aliases w:val="List Paragraph1 Char,List Paragraph11 Char,Recommendation Char,Bullet point Char,Bulleted List Char,NAST Quote Char,List Paragraph Number Char,Bulleted Para Char,NFP GP Bulleted List Char,bullet point list Char,L Char,Dot pt Char"/>
    <w:link w:val="ListParagraph"/>
    <w:uiPriority w:val="34"/>
    <w:locked/>
    <w:rsid w:val="00C448A9"/>
    <w:rPr>
      <w:rFonts w:cs="Arial"/>
      <w:sz w:val="21"/>
      <w:szCs w:val="21"/>
    </w:rPr>
  </w:style>
  <w:style w:type="paragraph" w:customStyle="1" w:styleId="PortfolioBullet">
    <w:name w:val="Portfolio_Bullet"/>
    <w:basedOn w:val="Normal"/>
    <w:rsid w:val="007E08FD"/>
    <w:pPr>
      <w:keepLines/>
      <w:numPr>
        <w:numId w:val="10"/>
      </w:numPr>
      <w:spacing w:after="240" w:line="240" w:lineRule="auto"/>
      <w:jc w:val="both"/>
    </w:pPr>
    <w:rPr>
      <w:rFonts w:cs="Times New Roman"/>
      <w:sz w:val="22"/>
      <w:szCs w:val="20"/>
      <w:lang w:eastAsia="en-US"/>
    </w:rPr>
  </w:style>
  <w:style w:type="paragraph" w:customStyle="1" w:styleId="PortfolioBullet2">
    <w:name w:val="Portfolio_Bullet2"/>
    <w:basedOn w:val="Normal"/>
    <w:rsid w:val="007E08FD"/>
    <w:pPr>
      <w:keepLines/>
      <w:numPr>
        <w:ilvl w:val="1"/>
        <w:numId w:val="10"/>
      </w:numPr>
      <w:spacing w:after="240" w:line="240" w:lineRule="auto"/>
      <w:jc w:val="both"/>
    </w:pPr>
    <w:rPr>
      <w:rFonts w:cs="Times New Roman"/>
      <w:sz w:val="22"/>
      <w:szCs w:val="20"/>
      <w:lang w:eastAsia="en-US"/>
    </w:rPr>
  </w:style>
  <w:style w:type="paragraph" w:customStyle="1" w:styleId="PortfolioBullet3">
    <w:name w:val="Portfolio_Bullet3"/>
    <w:basedOn w:val="Normal"/>
    <w:rsid w:val="007E08FD"/>
    <w:pPr>
      <w:keepLines/>
      <w:numPr>
        <w:ilvl w:val="2"/>
        <w:numId w:val="10"/>
      </w:numPr>
      <w:spacing w:after="240" w:line="240" w:lineRule="auto"/>
      <w:jc w:val="both"/>
    </w:pPr>
    <w:rPr>
      <w:rFonts w:cs="Times New Roman"/>
      <w:sz w:val="22"/>
      <w:szCs w:val="20"/>
      <w:lang w:eastAsia="en-US"/>
    </w:rPr>
  </w:style>
  <w:style w:type="character" w:customStyle="1" w:styleId="normaltextrun1">
    <w:name w:val="normaltextrun1"/>
    <w:basedOn w:val="DefaultParagraphFont"/>
    <w:rsid w:val="00A1591D"/>
  </w:style>
  <w:style w:type="paragraph" w:customStyle="1" w:styleId="paragraph0">
    <w:name w:val="paragraph"/>
    <w:basedOn w:val="Normal"/>
    <w:rsid w:val="00A1591D"/>
    <w:pPr>
      <w:spacing w:after="0" w:line="240" w:lineRule="auto"/>
    </w:pPr>
    <w:rPr>
      <w:rFonts w:ascii="Times New Roman" w:hAnsi="Times New Roman" w:cs="Times New Roman"/>
      <w:sz w:val="24"/>
      <w:szCs w:val="24"/>
    </w:rPr>
  </w:style>
  <w:style w:type="character" w:customStyle="1" w:styleId="eop">
    <w:name w:val="eop"/>
    <w:basedOn w:val="DefaultParagraphFont"/>
    <w:rsid w:val="00A1591D"/>
  </w:style>
  <w:style w:type="paragraph" w:styleId="FootnoteText">
    <w:name w:val="footnote text"/>
    <w:basedOn w:val="Normal"/>
    <w:link w:val="FootnoteTextChar"/>
    <w:uiPriority w:val="99"/>
    <w:semiHidden/>
    <w:unhideWhenUsed/>
    <w:rsid w:val="00A159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591D"/>
    <w:rPr>
      <w:rFonts w:cs="Arial"/>
    </w:rPr>
  </w:style>
  <w:style w:type="numbering" w:customStyle="1" w:styleId="NoList9">
    <w:name w:val="No List9"/>
    <w:next w:val="NoList"/>
    <w:uiPriority w:val="99"/>
    <w:semiHidden/>
    <w:unhideWhenUsed/>
    <w:rsid w:val="000B582A"/>
  </w:style>
  <w:style w:type="table" w:customStyle="1" w:styleId="Tablestyle-header1">
    <w:name w:val="Table style - header1"/>
    <w:basedOn w:val="TableNormal"/>
    <w:uiPriority w:val="99"/>
    <w:rsid w:val="000B582A"/>
    <w:tblPr/>
  </w:style>
  <w:style w:type="table" w:customStyle="1" w:styleId="TableGrid13">
    <w:name w:val="Table Grid13"/>
    <w:basedOn w:val="TableNormal"/>
    <w:next w:val="TableGrid"/>
    <w:locked/>
    <w:rsid w:val="000B582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0B582A"/>
  </w:style>
  <w:style w:type="numbering" w:customStyle="1" w:styleId="NoList21">
    <w:name w:val="No List21"/>
    <w:next w:val="NoList"/>
    <w:uiPriority w:val="99"/>
    <w:semiHidden/>
    <w:unhideWhenUsed/>
    <w:rsid w:val="000B582A"/>
  </w:style>
  <w:style w:type="numbering" w:customStyle="1" w:styleId="NoList31">
    <w:name w:val="No List31"/>
    <w:next w:val="NoList"/>
    <w:uiPriority w:val="99"/>
    <w:semiHidden/>
    <w:unhideWhenUsed/>
    <w:rsid w:val="000B582A"/>
  </w:style>
  <w:style w:type="table" w:customStyle="1" w:styleId="TableGrid14">
    <w:name w:val="Table Grid14"/>
    <w:basedOn w:val="TableNormal"/>
    <w:next w:val="TableGrid"/>
    <w:uiPriority w:val="39"/>
    <w:rsid w:val="000B582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0B582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0B582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0B582A"/>
  </w:style>
  <w:style w:type="numbering" w:customStyle="1" w:styleId="NoList51">
    <w:name w:val="No List51"/>
    <w:next w:val="NoList"/>
    <w:uiPriority w:val="99"/>
    <w:semiHidden/>
    <w:unhideWhenUsed/>
    <w:rsid w:val="000B582A"/>
  </w:style>
  <w:style w:type="numbering" w:customStyle="1" w:styleId="NoList61">
    <w:name w:val="No List61"/>
    <w:next w:val="NoList"/>
    <w:uiPriority w:val="99"/>
    <w:semiHidden/>
    <w:unhideWhenUsed/>
    <w:rsid w:val="000B582A"/>
  </w:style>
  <w:style w:type="numbering" w:customStyle="1" w:styleId="NoList71">
    <w:name w:val="No List71"/>
    <w:next w:val="NoList"/>
    <w:uiPriority w:val="99"/>
    <w:semiHidden/>
    <w:unhideWhenUsed/>
    <w:rsid w:val="000B582A"/>
  </w:style>
  <w:style w:type="numbering" w:customStyle="1" w:styleId="NoList81">
    <w:name w:val="No List81"/>
    <w:next w:val="NoList"/>
    <w:uiPriority w:val="99"/>
    <w:semiHidden/>
    <w:unhideWhenUsed/>
    <w:rsid w:val="000B582A"/>
  </w:style>
  <w:style w:type="table" w:customStyle="1" w:styleId="TableGrid41">
    <w:name w:val="Table Grid41"/>
    <w:basedOn w:val="TableNormal"/>
    <w:next w:val="TableGrid"/>
    <w:uiPriority w:val="39"/>
    <w:rsid w:val="000B582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0B582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0B582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0B582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0B582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0B582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qFormat/>
    <w:rsid w:val="0049054E"/>
    <w:rPr>
      <w:rFonts w:eastAsiaTheme="minorHAnsi" w:cs="Arial"/>
      <w:b/>
      <w:sz w:val="56"/>
      <w:szCs w:val="56"/>
      <w:lang w:eastAsia="en-US"/>
    </w:rPr>
  </w:style>
  <w:style w:type="paragraph" w:customStyle="1" w:styleId="H2">
    <w:name w:val="H2"/>
    <w:qFormat/>
    <w:rsid w:val="0049054E"/>
    <w:rPr>
      <w:rFonts w:eastAsiaTheme="minorHAnsi" w:cs="Arial"/>
      <w:b/>
      <w:sz w:val="32"/>
      <w:szCs w:val="32"/>
      <w:lang w:eastAsia="en-US"/>
    </w:rPr>
  </w:style>
  <w:style w:type="paragraph" w:customStyle="1" w:styleId="Bulletsindented">
    <w:name w:val="Bullets indented"/>
    <w:next w:val="Normal"/>
    <w:qFormat/>
    <w:rsid w:val="0049054E"/>
    <w:pPr>
      <w:ind w:left="1440" w:hanging="360"/>
    </w:pPr>
    <w:rPr>
      <w:rFonts w:eastAsiaTheme="minorHAnsi" w:cs="Arial"/>
      <w:sz w:val="22"/>
      <w:szCs w:val="22"/>
      <w:lang w:eastAsia="en-US"/>
    </w:rPr>
  </w:style>
  <w:style w:type="paragraph" w:customStyle="1" w:styleId="BasicParagraph">
    <w:name w:val="[Basic Paragraph]"/>
    <w:basedOn w:val="Normal"/>
    <w:uiPriority w:val="99"/>
    <w:rsid w:val="009E4C5F"/>
    <w:pPr>
      <w:autoSpaceDE w:val="0"/>
      <w:autoSpaceDN w:val="0"/>
      <w:adjustRightInd w:val="0"/>
      <w:spacing w:after="0" w:line="220" w:lineRule="atLeast"/>
      <w:textAlignment w:val="center"/>
    </w:pPr>
    <w:rPr>
      <w:rFonts w:ascii="MetaPro-Norm" w:eastAsia="Calibri" w:hAnsi="MetaPro-Norm" w:cs="MetaPro-Norm"/>
      <w:color w:val="000000"/>
      <w:sz w:val="18"/>
      <w:szCs w:val="18"/>
      <w:lang w:val="en-US" w:eastAsia="en-US"/>
    </w:rPr>
  </w:style>
  <w:style w:type="numbering" w:customStyle="1" w:styleId="NoList10">
    <w:name w:val="No List10"/>
    <w:next w:val="NoList"/>
    <w:uiPriority w:val="99"/>
    <w:semiHidden/>
    <w:unhideWhenUsed/>
    <w:rsid w:val="00AD5FC1"/>
  </w:style>
  <w:style w:type="paragraph" w:customStyle="1" w:styleId="Pa32">
    <w:name w:val="Pa32"/>
    <w:basedOn w:val="Default"/>
    <w:next w:val="Default"/>
    <w:uiPriority w:val="99"/>
    <w:rsid w:val="00C06A25"/>
    <w:pPr>
      <w:spacing w:line="201" w:lineRule="atLeast"/>
    </w:pPr>
    <w:rPr>
      <w:rFonts w:ascii="MetaPro-Bold" w:hAnsi="MetaPro-Bold" w:cs="Times New Roman"/>
      <w:color w:val="auto"/>
      <w:lang w:val="en-GB"/>
    </w:rPr>
  </w:style>
  <w:style w:type="paragraph" w:styleId="NoSpacing">
    <w:name w:val="No Spacing"/>
    <w:uiPriority w:val="1"/>
    <w:locked/>
    <w:rsid w:val="00C06A25"/>
    <w:rPr>
      <w:rFonts w:cs="Arial"/>
      <w:sz w:val="21"/>
      <w:szCs w:val="21"/>
    </w:rPr>
  </w:style>
  <w:style w:type="paragraph" w:customStyle="1" w:styleId="Pa33">
    <w:name w:val="Pa33"/>
    <w:basedOn w:val="Default"/>
    <w:next w:val="Default"/>
    <w:uiPriority w:val="99"/>
    <w:rsid w:val="00C06A25"/>
    <w:pPr>
      <w:spacing w:line="161" w:lineRule="atLeast"/>
    </w:pPr>
    <w:rPr>
      <w:rFonts w:ascii="MetaPro-Light" w:hAnsi="MetaPro-Light" w:cs="Times New Roman"/>
      <w:color w:val="auto"/>
      <w:lang w:val="en-GB"/>
    </w:rPr>
  </w:style>
  <w:style w:type="paragraph" w:customStyle="1" w:styleId="Chart">
    <w:name w:val="Chart"/>
    <w:qFormat/>
    <w:rsid w:val="00B93580"/>
    <w:pPr>
      <w:jc w:val="center"/>
    </w:pPr>
    <w:rPr>
      <w:rFonts w:cs="Arial"/>
      <w:color w:val="FFFFFF" w:themeColor="background1"/>
      <w:sz w:val="18"/>
      <w:szCs w:val="18"/>
    </w:rPr>
  </w:style>
  <w:style w:type="paragraph" w:customStyle="1" w:styleId="H1notlinked">
    <w:name w:val="H1 not linked"/>
    <w:qFormat/>
    <w:rsid w:val="00496BF5"/>
    <w:pPr>
      <w:spacing w:after="200"/>
    </w:pPr>
    <w:rPr>
      <w:rFonts w:eastAsia="Calibri" w:cs="Arial"/>
      <w:bCs/>
      <w:noProof/>
      <w:color w:val="262626" w:themeColor="text1" w:themeTint="D9"/>
      <w:kern w:val="32"/>
      <w:sz w:val="40"/>
      <w:szCs w:val="40"/>
      <w:lang w:eastAsia="en-US"/>
    </w:rPr>
  </w:style>
  <w:style w:type="numbering" w:customStyle="1" w:styleId="NoList12">
    <w:name w:val="No List12"/>
    <w:next w:val="NoList"/>
    <w:uiPriority w:val="99"/>
    <w:semiHidden/>
    <w:unhideWhenUsed/>
    <w:rsid w:val="00AC2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87550">
      <w:bodyDiv w:val="1"/>
      <w:marLeft w:val="0"/>
      <w:marRight w:val="0"/>
      <w:marTop w:val="0"/>
      <w:marBottom w:val="0"/>
      <w:divBdr>
        <w:top w:val="none" w:sz="0" w:space="0" w:color="auto"/>
        <w:left w:val="none" w:sz="0" w:space="0" w:color="auto"/>
        <w:bottom w:val="none" w:sz="0" w:space="0" w:color="auto"/>
        <w:right w:val="none" w:sz="0" w:space="0" w:color="auto"/>
      </w:divBdr>
    </w:div>
    <w:div w:id="94404039">
      <w:bodyDiv w:val="1"/>
      <w:marLeft w:val="0"/>
      <w:marRight w:val="0"/>
      <w:marTop w:val="0"/>
      <w:marBottom w:val="0"/>
      <w:divBdr>
        <w:top w:val="none" w:sz="0" w:space="0" w:color="auto"/>
        <w:left w:val="none" w:sz="0" w:space="0" w:color="auto"/>
        <w:bottom w:val="none" w:sz="0" w:space="0" w:color="auto"/>
        <w:right w:val="none" w:sz="0" w:space="0" w:color="auto"/>
      </w:divBdr>
    </w:div>
    <w:div w:id="104159672">
      <w:bodyDiv w:val="1"/>
      <w:marLeft w:val="0"/>
      <w:marRight w:val="0"/>
      <w:marTop w:val="0"/>
      <w:marBottom w:val="0"/>
      <w:divBdr>
        <w:top w:val="none" w:sz="0" w:space="0" w:color="auto"/>
        <w:left w:val="none" w:sz="0" w:space="0" w:color="auto"/>
        <w:bottom w:val="none" w:sz="0" w:space="0" w:color="auto"/>
        <w:right w:val="none" w:sz="0" w:space="0" w:color="auto"/>
      </w:divBdr>
      <w:divsChild>
        <w:div w:id="1397362629">
          <w:marLeft w:val="0"/>
          <w:marRight w:val="0"/>
          <w:marTop w:val="0"/>
          <w:marBottom w:val="0"/>
          <w:divBdr>
            <w:top w:val="none" w:sz="0" w:space="0" w:color="auto"/>
            <w:left w:val="none" w:sz="0" w:space="0" w:color="auto"/>
            <w:bottom w:val="none" w:sz="0" w:space="0" w:color="auto"/>
            <w:right w:val="none" w:sz="0" w:space="0" w:color="auto"/>
          </w:divBdr>
          <w:divsChild>
            <w:div w:id="841894582">
              <w:marLeft w:val="0"/>
              <w:marRight w:val="0"/>
              <w:marTop w:val="0"/>
              <w:marBottom w:val="0"/>
              <w:divBdr>
                <w:top w:val="none" w:sz="0" w:space="0" w:color="auto"/>
                <w:left w:val="none" w:sz="0" w:space="0" w:color="auto"/>
                <w:bottom w:val="none" w:sz="0" w:space="0" w:color="auto"/>
                <w:right w:val="none" w:sz="0" w:space="0" w:color="auto"/>
              </w:divBdr>
              <w:divsChild>
                <w:div w:id="576328073">
                  <w:marLeft w:val="0"/>
                  <w:marRight w:val="0"/>
                  <w:marTop w:val="0"/>
                  <w:marBottom w:val="0"/>
                  <w:divBdr>
                    <w:top w:val="none" w:sz="0" w:space="0" w:color="auto"/>
                    <w:left w:val="none" w:sz="0" w:space="0" w:color="auto"/>
                    <w:bottom w:val="none" w:sz="0" w:space="0" w:color="auto"/>
                    <w:right w:val="none" w:sz="0" w:space="0" w:color="auto"/>
                  </w:divBdr>
                  <w:divsChild>
                    <w:div w:id="144901121">
                      <w:marLeft w:val="0"/>
                      <w:marRight w:val="0"/>
                      <w:marTop w:val="0"/>
                      <w:marBottom w:val="0"/>
                      <w:divBdr>
                        <w:top w:val="none" w:sz="0" w:space="0" w:color="auto"/>
                        <w:left w:val="none" w:sz="0" w:space="0" w:color="auto"/>
                        <w:bottom w:val="none" w:sz="0" w:space="0" w:color="auto"/>
                        <w:right w:val="none" w:sz="0" w:space="0" w:color="auto"/>
                      </w:divBdr>
                      <w:divsChild>
                        <w:div w:id="2772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67176">
      <w:bodyDiv w:val="1"/>
      <w:marLeft w:val="0"/>
      <w:marRight w:val="0"/>
      <w:marTop w:val="0"/>
      <w:marBottom w:val="0"/>
      <w:divBdr>
        <w:top w:val="none" w:sz="0" w:space="0" w:color="auto"/>
        <w:left w:val="none" w:sz="0" w:space="0" w:color="auto"/>
        <w:bottom w:val="none" w:sz="0" w:space="0" w:color="auto"/>
        <w:right w:val="none" w:sz="0" w:space="0" w:color="auto"/>
      </w:divBdr>
      <w:divsChild>
        <w:div w:id="1778527435">
          <w:marLeft w:val="0"/>
          <w:marRight w:val="0"/>
          <w:marTop w:val="0"/>
          <w:marBottom w:val="0"/>
          <w:divBdr>
            <w:top w:val="none" w:sz="0" w:space="0" w:color="auto"/>
            <w:left w:val="none" w:sz="0" w:space="0" w:color="auto"/>
            <w:bottom w:val="none" w:sz="0" w:space="0" w:color="auto"/>
            <w:right w:val="none" w:sz="0" w:space="0" w:color="auto"/>
          </w:divBdr>
          <w:divsChild>
            <w:div w:id="2067487323">
              <w:marLeft w:val="0"/>
              <w:marRight w:val="0"/>
              <w:marTop w:val="0"/>
              <w:marBottom w:val="0"/>
              <w:divBdr>
                <w:top w:val="none" w:sz="0" w:space="0" w:color="auto"/>
                <w:left w:val="none" w:sz="0" w:space="0" w:color="auto"/>
                <w:bottom w:val="none" w:sz="0" w:space="0" w:color="auto"/>
                <w:right w:val="none" w:sz="0" w:space="0" w:color="auto"/>
              </w:divBdr>
              <w:divsChild>
                <w:div w:id="212741246">
                  <w:marLeft w:val="0"/>
                  <w:marRight w:val="0"/>
                  <w:marTop w:val="0"/>
                  <w:marBottom w:val="0"/>
                  <w:divBdr>
                    <w:top w:val="none" w:sz="0" w:space="0" w:color="auto"/>
                    <w:left w:val="none" w:sz="0" w:space="0" w:color="auto"/>
                    <w:bottom w:val="none" w:sz="0" w:space="0" w:color="auto"/>
                    <w:right w:val="none" w:sz="0" w:space="0" w:color="auto"/>
                  </w:divBdr>
                  <w:divsChild>
                    <w:div w:id="1880048281">
                      <w:marLeft w:val="0"/>
                      <w:marRight w:val="0"/>
                      <w:marTop w:val="0"/>
                      <w:marBottom w:val="0"/>
                      <w:divBdr>
                        <w:top w:val="none" w:sz="0" w:space="0" w:color="auto"/>
                        <w:left w:val="none" w:sz="0" w:space="0" w:color="auto"/>
                        <w:bottom w:val="none" w:sz="0" w:space="0" w:color="auto"/>
                        <w:right w:val="none" w:sz="0" w:space="0" w:color="auto"/>
                      </w:divBdr>
                      <w:divsChild>
                        <w:div w:id="1430617647">
                          <w:marLeft w:val="340"/>
                          <w:marRight w:val="0"/>
                          <w:marTop w:val="300"/>
                          <w:marBottom w:val="120"/>
                          <w:divBdr>
                            <w:top w:val="none" w:sz="0" w:space="0" w:color="auto"/>
                            <w:left w:val="none" w:sz="0" w:space="0" w:color="auto"/>
                            <w:bottom w:val="none" w:sz="0" w:space="0" w:color="auto"/>
                            <w:right w:val="none" w:sz="0" w:space="0" w:color="auto"/>
                          </w:divBdr>
                          <w:divsChild>
                            <w:div w:id="2081950232">
                              <w:marLeft w:val="0"/>
                              <w:marRight w:val="0"/>
                              <w:marTop w:val="0"/>
                              <w:marBottom w:val="0"/>
                              <w:divBdr>
                                <w:top w:val="none" w:sz="0" w:space="0" w:color="auto"/>
                                <w:left w:val="none" w:sz="0" w:space="0" w:color="auto"/>
                                <w:bottom w:val="none" w:sz="0" w:space="0" w:color="auto"/>
                                <w:right w:val="none" w:sz="0" w:space="0" w:color="auto"/>
                              </w:divBdr>
                              <w:divsChild>
                                <w:div w:id="24916968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381250876">
                                      <w:blockQuote w:val="1"/>
                                      <w:marLeft w:val="600"/>
                                      <w:marRight w:val="0"/>
                                      <w:marTop w:val="120"/>
                                      <w:marBottom w:val="120"/>
                                      <w:divBdr>
                                        <w:top w:val="none" w:sz="0" w:space="0" w:color="auto"/>
                                        <w:left w:val="none" w:sz="0" w:space="0" w:color="auto"/>
                                        <w:bottom w:val="none" w:sz="0" w:space="0" w:color="auto"/>
                                        <w:right w:val="none" w:sz="0" w:space="0" w:color="auto"/>
                                      </w:divBdr>
                                    </w:div>
                                    <w:div w:id="119996933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134957">
      <w:bodyDiv w:val="1"/>
      <w:marLeft w:val="0"/>
      <w:marRight w:val="0"/>
      <w:marTop w:val="0"/>
      <w:marBottom w:val="0"/>
      <w:divBdr>
        <w:top w:val="none" w:sz="0" w:space="0" w:color="auto"/>
        <w:left w:val="none" w:sz="0" w:space="0" w:color="auto"/>
        <w:bottom w:val="none" w:sz="0" w:space="0" w:color="auto"/>
        <w:right w:val="none" w:sz="0" w:space="0" w:color="auto"/>
      </w:divBdr>
      <w:divsChild>
        <w:div w:id="1950308291">
          <w:marLeft w:val="0"/>
          <w:marRight w:val="0"/>
          <w:marTop w:val="0"/>
          <w:marBottom w:val="0"/>
          <w:divBdr>
            <w:top w:val="none" w:sz="0" w:space="0" w:color="auto"/>
            <w:left w:val="none" w:sz="0" w:space="0" w:color="auto"/>
            <w:bottom w:val="none" w:sz="0" w:space="0" w:color="auto"/>
            <w:right w:val="none" w:sz="0" w:space="0" w:color="auto"/>
          </w:divBdr>
          <w:divsChild>
            <w:div w:id="1650209034">
              <w:marLeft w:val="0"/>
              <w:marRight w:val="0"/>
              <w:marTop w:val="0"/>
              <w:marBottom w:val="0"/>
              <w:divBdr>
                <w:top w:val="none" w:sz="0" w:space="0" w:color="auto"/>
                <w:left w:val="none" w:sz="0" w:space="0" w:color="auto"/>
                <w:bottom w:val="none" w:sz="0" w:space="0" w:color="auto"/>
                <w:right w:val="none" w:sz="0" w:space="0" w:color="auto"/>
              </w:divBdr>
              <w:divsChild>
                <w:div w:id="258485761">
                  <w:marLeft w:val="0"/>
                  <w:marRight w:val="0"/>
                  <w:marTop w:val="0"/>
                  <w:marBottom w:val="0"/>
                  <w:divBdr>
                    <w:top w:val="none" w:sz="0" w:space="0" w:color="auto"/>
                    <w:left w:val="none" w:sz="0" w:space="0" w:color="auto"/>
                    <w:bottom w:val="none" w:sz="0" w:space="0" w:color="auto"/>
                    <w:right w:val="none" w:sz="0" w:space="0" w:color="auto"/>
                  </w:divBdr>
                  <w:divsChild>
                    <w:div w:id="2045476506">
                      <w:marLeft w:val="0"/>
                      <w:marRight w:val="0"/>
                      <w:marTop w:val="0"/>
                      <w:marBottom w:val="0"/>
                      <w:divBdr>
                        <w:top w:val="none" w:sz="0" w:space="0" w:color="auto"/>
                        <w:left w:val="none" w:sz="0" w:space="0" w:color="auto"/>
                        <w:bottom w:val="none" w:sz="0" w:space="0" w:color="auto"/>
                        <w:right w:val="none" w:sz="0" w:space="0" w:color="auto"/>
                      </w:divBdr>
                      <w:divsChild>
                        <w:div w:id="39053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08720">
      <w:bodyDiv w:val="1"/>
      <w:marLeft w:val="0"/>
      <w:marRight w:val="0"/>
      <w:marTop w:val="0"/>
      <w:marBottom w:val="0"/>
      <w:divBdr>
        <w:top w:val="none" w:sz="0" w:space="0" w:color="auto"/>
        <w:left w:val="none" w:sz="0" w:space="0" w:color="auto"/>
        <w:bottom w:val="none" w:sz="0" w:space="0" w:color="auto"/>
        <w:right w:val="none" w:sz="0" w:space="0" w:color="auto"/>
      </w:divBdr>
      <w:divsChild>
        <w:div w:id="263996087">
          <w:marLeft w:val="0"/>
          <w:marRight w:val="0"/>
          <w:marTop w:val="0"/>
          <w:marBottom w:val="0"/>
          <w:divBdr>
            <w:top w:val="none" w:sz="0" w:space="0" w:color="auto"/>
            <w:left w:val="none" w:sz="0" w:space="0" w:color="auto"/>
            <w:bottom w:val="none" w:sz="0" w:space="0" w:color="auto"/>
            <w:right w:val="none" w:sz="0" w:space="0" w:color="auto"/>
          </w:divBdr>
          <w:divsChild>
            <w:div w:id="365713318">
              <w:marLeft w:val="0"/>
              <w:marRight w:val="0"/>
              <w:marTop w:val="0"/>
              <w:marBottom w:val="0"/>
              <w:divBdr>
                <w:top w:val="none" w:sz="0" w:space="0" w:color="auto"/>
                <w:left w:val="none" w:sz="0" w:space="0" w:color="auto"/>
                <w:bottom w:val="none" w:sz="0" w:space="0" w:color="auto"/>
                <w:right w:val="none" w:sz="0" w:space="0" w:color="auto"/>
              </w:divBdr>
              <w:divsChild>
                <w:div w:id="1717729919">
                  <w:marLeft w:val="0"/>
                  <w:marRight w:val="0"/>
                  <w:marTop w:val="0"/>
                  <w:marBottom w:val="0"/>
                  <w:divBdr>
                    <w:top w:val="none" w:sz="0" w:space="0" w:color="auto"/>
                    <w:left w:val="none" w:sz="0" w:space="0" w:color="auto"/>
                    <w:bottom w:val="none" w:sz="0" w:space="0" w:color="auto"/>
                    <w:right w:val="none" w:sz="0" w:space="0" w:color="auto"/>
                  </w:divBdr>
                  <w:divsChild>
                    <w:div w:id="2147040046">
                      <w:marLeft w:val="0"/>
                      <w:marRight w:val="0"/>
                      <w:marTop w:val="0"/>
                      <w:marBottom w:val="0"/>
                      <w:divBdr>
                        <w:top w:val="none" w:sz="0" w:space="0" w:color="auto"/>
                        <w:left w:val="none" w:sz="0" w:space="0" w:color="auto"/>
                        <w:bottom w:val="none" w:sz="0" w:space="0" w:color="auto"/>
                        <w:right w:val="none" w:sz="0" w:space="0" w:color="auto"/>
                      </w:divBdr>
                      <w:divsChild>
                        <w:div w:id="907764773">
                          <w:marLeft w:val="340"/>
                          <w:marRight w:val="0"/>
                          <w:marTop w:val="300"/>
                          <w:marBottom w:val="120"/>
                          <w:divBdr>
                            <w:top w:val="none" w:sz="0" w:space="0" w:color="auto"/>
                            <w:left w:val="none" w:sz="0" w:space="0" w:color="auto"/>
                            <w:bottom w:val="none" w:sz="0" w:space="0" w:color="auto"/>
                            <w:right w:val="none" w:sz="0" w:space="0" w:color="auto"/>
                          </w:divBdr>
                          <w:divsChild>
                            <w:div w:id="82378970">
                              <w:marLeft w:val="0"/>
                              <w:marRight w:val="0"/>
                              <w:marTop w:val="0"/>
                              <w:marBottom w:val="0"/>
                              <w:divBdr>
                                <w:top w:val="none" w:sz="0" w:space="0" w:color="auto"/>
                                <w:left w:val="none" w:sz="0" w:space="0" w:color="auto"/>
                                <w:bottom w:val="none" w:sz="0" w:space="0" w:color="auto"/>
                                <w:right w:val="none" w:sz="0" w:space="0" w:color="auto"/>
                              </w:divBdr>
                              <w:divsChild>
                                <w:div w:id="95329010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84096301">
                                      <w:blockQuote w:val="1"/>
                                      <w:marLeft w:val="600"/>
                                      <w:marRight w:val="0"/>
                                      <w:marTop w:val="120"/>
                                      <w:marBottom w:val="120"/>
                                      <w:divBdr>
                                        <w:top w:val="none" w:sz="0" w:space="0" w:color="auto"/>
                                        <w:left w:val="none" w:sz="0" w:space="0" w:color="auto"/>
                                        <w:bottom w:val="none" w:sz="0" w:space="0" w:color="auto"/>
                                        <w:right w:val="none" w:sz="0" w:space="0" w:color="auto"/>
                                      </w:divBdr>
                                    </w:div>
                                    <w:div w:id="971716650">
                                      <w:blockQuote w:val="1"/>
                                      <w:marLeft w:val="600"/>
                                      <w:marRight w:val="0"/>
                                      <w:marTop w:val="120"/>
                                      <w:marBottom w:val="120"/>
                                      <w:divBdr>
                                        <w:top w:val="none" w:sz="0" w:space="0" w:color="auto"/>
                                        <w:left w:val="none" w:sz="0" w:space="0" w:color="auto"/>
                                        <w:bottom w:val="none" w:sz="0" w:space="0" w:color="auto"/>
                                        <w:right w:val="none" w:sz="0" w:space="0" w:color="auto"/>
                                      </w:divBdr>
                                    </w:div>
                                    <w:div w:id="1079713437">
                                      <w:blockQuote w:val="1"/>
                                      <w:marLeft w:val="600"/>
                                      <w:marRight w:val="0"/>
                                      <w:marTop w:val="120"/>
                                      <w:marBottom w:val="120"/>
                                      <w:divBdr>
                                        <w:top w:val="none" w:sz="0" w:space="0" w:color="auto"/>
                                        <w:left w:val="none" w:sz="0" w:space="0" w:color="auto"/>
                                        <w:bottom w:val="none" w:sz="0" w:space="0" w:color="auto"/>
                                        <w:right w:val="none" w:sz="0" w:space="0" w:color="auto"/>
                                      </w:divBdr>
                                    </w:div>
                                    <w:div w:id="152247141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9556923">
      <w:bodyDiv w:val="1"/>
      <w:marLeft w:val="0"/>
      <w:marRight w:val="0"/>
      <w:marTop w:val="0"/>
      <w:marBottom w:val="0"/>
      <w:divBdr>
        <w:top w:val="none" w:sz="0" w:space="0" w:color="auto"/>
        <w:left w:val="none" w:sz="0" w:space="0" w:color="auto"/>
        <w:bottom w:val="none" w:sz="0" w:space="0" w:color="auto"/>
        <w:right w:val="none" w:sz="0" w:space="0" w:color="auto"/>
      </w:divBdr>
    </w:div>
    <w:div w:id="301158129">
      <w:bodyDiv w:val="1"/>
      <w:marLeft w:val="0"/>
      <w:marRight w:val="0"/>
      <w:marTop w:val="0"/>
      <w:marBottom w:val="0"/>
      <w:divBdr>
        <w:top w:val="none" w:sz="0" w:space="0" w:color="auto"/>
        <w:left w:val="none" w:sz="0" w:space="0" w:color="auto"/>
        <w:bottom w:val="none" w:sz="0" w:space="0" w:color="auto"/>
        <w:right w:val="none" w:sz="0" w:space="0" w:color="auto"/>
      </w:divBdr>
    </w:div>
    <w:div w:id="315496053">
      <w:bodyDiv w:val="1"/>
      <w:marLeft w:val="0"/>
      <w:marRight w:val="0"/>
      <w:marTop w:val="0"/>
      <w:marBottom w:val="0"/>
      <w:divBdr>
        <w:top w:val="none" w:sz="0" w:space="0" w:color="auto"/>
        <w:left w:val="none" w:sz="0" w:space="0" w:color="auto"/>
        <w:bottom w:val="none" w:sz="0" w:space="0" w:color="auto"/>
        <w:right w:val="none" w:sz="0" w:space="0" w:color="auto"/>
      </w:divBdr>
    </w:div>
    <w:div w:id="379326179">
      <w:bodyDiv w:val="1"/>
      <w:marLeft w:val="0"/>
      <w:marRight w:val="0"/>
      <w:marTop w:val="0"/>
      <w:marBottom w:val="0"/>
      <w:divBdr>
        <w:top w:val="none" w:sz="0" w:space="0" w:color="auto"/>
        <w:left w:val="none" w:sz="0" w:space="0" w:color="auto"/>
        <w:bottom w:val="none" w:sz="0" w:space="0" w:color="auto"/>
        <w:right w:val="none" w:sz="0" w:space="0" w:color="auto"/>
      </w:divBdr>
    </w:div>
    <w:div w:id="387145628">
      <w:bodyDiv w:val="1"/>
      <w:marLeft w:val="0"/>
      <w:marRight w:val="0"/>
      <w:marTop w:val="0"/>
      <w:marBottom w:val="0"/>
      <w:divBdr>
        <w:top w:val="none" w:sz="0" w:space="0" w:color="auto"/>
        <w:left w:val="none" w:sz="0" w:space="0" w:color="auto"/>
        <w:bottom w:val="none" w:sz="0" w:space="0" w:color="auto"/>
        <w:right w:val="none" w:sz="0" w:space="0" w:color="auto"/>
      </w:divBdr>
    </w:div>
    <w:div w:id="389038005">
      <w:bodyDiv w:val="1"/>
      <w:marLeft w:val="0"/>
      <w:marRight w:val="0"/>
      <w:marTop w:val="0"/>
      <w:marBottom w:val="0"/>
      <w:divBdr>
        <w:top w:val="none" w:sz="0" w:space="0" w:color="auto"/>
        <w:left w:val="none" w:sz="0" w:space="0" w:color="auto"/>
        <w:bottom w:val="none" w:sz="0" w:space="0" w:color="auto"/>
        <w:right w:val="none" w:sz="0" w:space="0" w:color="auto"/>
      </w:divBdr>
    </w:div>
    <w:div w:id="401029405">
      <w:bodyDiv w:val="1"/>
      <w:marLeft w:val="0"/>
      <w:marRight w:val="0"/>
      <w:marTop w:val="0"/>
      <w:marBottom w:val="0"/>
      <w:divBdr>
        <w:top w:val="none" w:sz="0" w:space="0" w:color="auto"/>
        <w:left w:val="none" w:sz="0" w:space="0" w:color="auto"/>
        <w:bottom w:val="none" w:sz="0" w:space="0" w:color="auto"/>
        <w:right w:val="none" w:sz="0" w:space="0" w:color="auto"/>
      </w:divBdr>
      <w:divsChild>
        <w:div w:id="1577127951">
          <w:marLeft w:val="0"/>
          <w:marRight w:val="0"/>
          <w:marTop w:val="0"/>
          <w:marBottom w:val="0"/>
          <w:divBdr>
            <w:top w:val="none" w:sz="0" w:space="0" w:color="auto"/>
            <w:left w:val="none" w:sz="0" w:space="0" w:color="auto"/>
            <w:bottom w:val="none" w:sz="0" w:space="0" w:color="auto"/>
            <w:right w:val="none" w:sz="0" w:space="0" w:color="auto"/>
          </w:divBdr>
          <w:divsChild>
            <w:div w:id="805315305">
              <w:marLeft w:val="0"/>
              <w:marRight w:val="0"/>
              <w:marTop w:val="0"/>
              <w:marBottom w:val="0"/>
              <w:divBdr>
                <w:top w:val="none" w:sz="0" w:space="0" w:color="auto"/>
                <w:left w:val="none" w:sz="0" w:space="0" w:color="auto"/>
                <w:bottom w:val="none" w:sz="0" w:space="0" w:color="auto"/>
                <w:right w:val="none" w:sz="0" w:space="0" w:color="auto"/>
              </w:divBdr>
              <w:divsChild>
                <w:div w:id="1610773617">
                  <w:marLeft w:val="-375"/>
                  <w:marRight w:val="-375"/>
                  <w:marTop w:val="0"/>
                  <w:marBottom w:val="0"/>
                  <w:divBdr>
                    <w:top w:val="none" w:sz="0" w:space="0" w:color="auto"/>
                    <w:left w:val="none" w:sz="0" w:space="0" w:color="auto"/>
                    <w:bottom w:val="none" w:sz="0" w:space="0" w:color="auto"/>
                    <w:right w:val="none" w:sz="0" w:space="0" w:color="auto"/>
                  </w:divBdr>
                  <w:divsChild>
                    <w:div w:id="2044866099">
                      <w:marLeft w:val="0"/>
                      <w:marRight w:val="0"/>
                      <w:marTop w:val="450"/>
                      <w:marBottom w:val="0"/>
                      <w:divBdr>
                        <w:top w:val="none" w:sz="0" w:space="0" w:color="auto"/>
                        <w:left w:val="none" w:sz="0" w:space="0" w:color="auto"/>
                        <w:bottom w:val="none" w:sz="0" w:space="0" w:color="auto"/>
                        <w:right w:val="none" w:sz="0" w:space="0" w:color="auto"/>
                      </w:divBdr>
                      <w:divsChild>
                        <w:div w:id="1112481871">
                          <w:marLeft w:val="0"/>
                          <w:marRight w:val="0"/>
                          <w:marTop w:val="0"/>
                          <w:marBottom w:val="0"/>
                          <w:divBdr>
                            <w:top w:val="none" w:sz="0" w:space="0" w:color="auto"/>
                            <w:left w:val="none" w:sz="0" w:space="0" w:color="auto"/>
                            <w:bottom w:val="none" w:sz="0" w:space="0" w:color="auto"/>
                            <w:right w:val="none" w:sz="0" w:space="0" w:color="auto"/>
                          </w:divBdr>
                          <w:divsChild>
                            <w:div w:id="1556968618">
                              <w:marLeft w:val="0"/>
                              <w:marRight w:val="0"/>
                              <w:marTop w:val="0"/>
                              <w:marBottom w:val="0"/>
                              <w:divBdr>
                                <w:top w:val="none" w:sz="0" w:space="0" w:color="auto"/>
                                <w:left w:val="none" w:sz="0" w:space="0" w:color="auto"/>
                                <w:bottom w:val="none" w:sz="0" w:space="0" w:color="auto"/>
                                <w:right w:val="none" w:sz="0" w:space="0" w:color="auto"/>
                              </w:divBdr>
                              <w:divsChild>
                                <w:div w:id="761991445">
                                  <w:marLeft w:val="0"/>
                                  <w:marRight w:val="0"/>
                                  <w:marTop w:val="0"/>
                                  <w:marBottom w:val="0"/>
                                  <w:divBdr>
                                    <w:top w:val="none" w:sz="0" w:space="0" w:color="auto"/>
                                    <w:left w:val="none" w:sz="0" w:space="0" w:color="auto"/>
                                    <w:bottom w:val="none" w:sz="0" w:space="0" w:color="auto"/>
                                    <w:right w:val="none" w:sz="0" w:space="0" w:color="auto"/>
                                  </w:divBdr>
                                  <w:divsChild>
                                    <w:div w:id="185252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2608682">
      <w:bodyDiv w:val="1"/>
      <w:marLeft w:val="0"/>
      <w:marRight w:val="0"/>
      <w:marTop w:val="0"/>
      <w:marBottom w:val="0"/>
      <w:divBdr>
        <w:top w:val="none" w:sz="0" w:space="0" w:color="auto"/>
        <w:left w:val="none" w:sz="0" w:space="0" w:color="auto"/>
        <w:bottom w:val="none" w:sz="0" w:space="0" w:color="auto"/>
        <w:right w:val="none" w:sz="0" w:space="0" w:color="auto"/>
      </w:divBdr>
      <w:divsChild>
        <w:div w:id="1056733980">
          <w:marLeft w:val="0"/>
          <w:marRight w:val="0"/>
          <w:marTop w:val="0"/>
          <w:marBottom w:val="0"/>
          <w:divBdr>
            <w:top w:val="none" w:sz="0" w:space="0" w:color="auto"/>
            <w:left w:val="none" w:sz="0" w:space="0" w:color="auto"/>
            <w:bottom w:val="none" w:sz="0" w:space="0" w:color="auto"/>
            <w:right w:val="none" w:sz="0" w:space="0" w:color="auto"/>
          </w:divBdr>
          <w:divsChild>
            <w:div w:id="1056704801">
              <w:marLeft w:val="0"/>
              <w:marRight w:val="0"/>
              <w:marTop w:val="0"/>
              <w:marBottom w:val="0"/>
              <w:divBdr>
                <w:top w:val="none" w:sz="0" w:space="0" w:color="auto"/>
                <w:left w:val="none" w:sz="0" w:space="0" w:color="auto"/>
                <w:bottom w:val="none" w:sz="0" w:space="0" w:color="auto"/>
                <w:right w:val="none" w:sz="0" w:space="0" w:color="auto"/>
              </w:divBdr>
              <w:divsChild>
                <w:div w:id="1923565344">
                  <w:marLeft w:val="0"/>
                  <w:marRight w:val="0"/>
                  <w:marTop w:val="0"/>
                  <w:marBottom w:val="0"/>
                  <w:divBdr>
                    <w:top w:val="none" w:sz="0" w:space="0" w:color="auto"/>
                    <w:left w:val="none" w:sz="0" w:space="0" w:color="auto"/>
                    <w:bottom w:val="none" w:sz="0" w:space="0" w:color="auto"/>
                    <w:right w:val="none" w:sz="0" w:space="0" w:color="auto"/>
                  </w:divBdr>
                  <w:divsChild>
                    <w:div w:id="1293366812">
                      <w:marLeft w:val="0"/>
                      <w:marRight w:val="0"/>
                      <w:marTop w:val="0"/>
                      <w:marBottom w:val="0"/>
                      <w:divBdr>
                        <w:top w:val="none" w:sz="0" w:space="0" w:color="auto"/>
                        <w:left w:val="none" w:sz="0" w:space="0" w:color="auto"/>
                        <w:bottom w:val="none" w:sz="0" w:space="0" w:color="auto"/>
                        <w:right w:val="none" w:sz="0" w:space="0" w:color="auto"/>
                      </w:divBdr>
                      <w:divsChild>
                        <w:div w:id="19641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687910">
      <w:bodyDiv w:val="1"/>
      <w:marLeft w:val="0"/>
      <w:marRight w:val="0"/>
      <w:marTop w:val="0"/>
      <w:marBottom w:val="0"/>
      <w:divBdr>
        <w:top w:val="none" w:sz="0" w:space="0" w:color="auto"/>
        <w:left w:val="none" w:sz="0" w:space="0" w:color="auto"/>
        <w:bottom w:val="none" w:sz="0" w:space="0" w:color="auto"/>
        <w:right w:val="none" w:sz="0" w:space="0" w:color="auto"/>
      </w:divBdr>
    </w:div>
    <w:div w:id="506790973">
      <w:bodyDiv w:val="1"/>
      <w:marLeft w:val="0"/>
      <w:marRight w:val="0"/>
      <w:marTop w:val="0"/>
      <w:marBottom w:val="0"/>
      <w:divBdr>
        <w:top w:val="none" w:sz="0" w:space="0" w:color="auto"/>
        <w:left w:val="none" w:sz="0" w:space="0" w:color="auto"/>
        <w:bottom w:val="none" w:sz="0" w:space="0" w:color="auto"/>
        <w:right w:val="none" w:sz="0" w:space="0" w:color="auto"/>
      </w:divBdr>
    </w:div>
    <w:div w:id="563225222">
      <w:bodyDiv w:val="1"/>
      <w:marLeft w:val="0"/>
      <w:marRight w:val="0"/>
      <w:marTop w:val="0"/>
      <w:marBottom w:val="0"/>
      <w:divBdr>
        <w:top w:val="none" w:sz="0" w:space="0" w:color="auto"/>
        <w:left w:val="none" w:sz="0" w:space="0" w:color="auto"/>
        <w:bottom w:val="none" w:sz="0" w:space="0" w:color="auto"/>
        <w:right w:val="none" w:sz="0" w:space="0" w:color="auto"/>
      </w:divBdr>
    </w:div>
    <w:div w:id="578903744">
      <w:bodyDiv w:val="1"/>
      <w:marLeft w:val="0"/>
      <w:marRight w:val="0"/>
      <w:marTop w:val="0"/>
      <w:marBottom w:val="0"/>
      <w:divBdr>
        <w:top w:val="none" w:sz="0" w:space="0" w:color="auto"/>
        <w:left w:val="none" w:sz="0" w:space="0" w:color="auto"/>
        <w:bottom w:val="none" w:sz="0" w:space="0" w:color="auto"/>
        <w:right w:val="none" w:sz="0" w:space="0" w:color="auto"/>
      </w:divBdr>
    </w:div>
    <w:div w:id="750589164">
      <w:bodyDiv w:val="1"/>
      <w:marLeft w:val="0"/>
      <w:marRight w:val="0"/>
      <w:marTop w:val="0"/>
      <w:marBottom w:val="0"/>
      <w:divBdr>
        <w:top w:val="none" w:sz="0" w:space="0" w:color="auto"/>
        <w:left w:val="none" w:sz="0" w:space="0" w:color="auto"/>
        <w:bottom w:val="none" w:sz="0" w:space="0" w:color="auto"/>
        <w:right w:val="none" w:sz="0" w:space="0" w:color="auto"/>
      </w:divBdr>
      <w:divsChild>
        <w:div w:id="2138793559">
          <w:marLeft w:val="0"/>
          <w:marRight w:val="0"/>
          <w:marTop w:val="0"/>
          <w:marBottom w:val="0"/>
          <w:divBdr>
            <w:top w:val="none" w:sz="0" w:space="0" w:color="auto"/>
            <w:left w:val="none" w:sz="0" w:space="0" w:color="auto"/>
            <w:bottom w:val="none" w:sz="0" w:space="0" w:color="auto"/>
            <w:right w:val="none" w:sz="0" w:space="0" w:color="auto"/>
          </w:divBdr>
          <w:divsChild>
            <w:div w:id="1697846397">
              <w:marLeft w:val="0"/>
              <w:marRight w:val="0"/>
              <w:marTop w:val="0"/>
              <w:marBottom w:val="0"/>
              <w:divBdr>
                <w:top w:val="none" w:sz="0" w:space="0" w:color="auto"/>
                <w:left w:val="none" w:sz="0" w:space="0" w:color="auto"/>
                <w:bottom w:val="none" w:sz="0" w:space="0" w:color="auto"/>
                <w:right w:val="none" w:sz="0" w:space="0" w:color="auto"/>
              </w:divBdr>
              <w:divsChild>
                <w:div w:id="382483926">
                  <w:marLeft w:val="0"/>
                  <w:marRight w:val="0"/>
                  <w:marTop w:val="0"/>
                  <w:marBottom w:val="0"/>
                  <w:divBdr>
                    <w:top w:val="none" w:sz="0" w:space="0" w:color="auto"/>
                    <w:left w:val="none" w:sz="0" w:space="0" w:color="auto"/>
                    <w:bottom w:val="none" w:sz="0" w:space="0" w:color="auto"/>
                    <w:right w:val="none" w:sz="0" w:space="0" w:color="auto"/>
                  </w:divBdr>
                  <w:divsChild>
                    <w:div w:id="354826">
                      <w:marLeft w:val="0"/>
                      <w:marRight w:val="0"/>
                      <w:marTop w:val="0"/>
                      <w:marBottom w:val="0"/>
                      <w:divBdr>
                        <w:top w:val="none" w:sz="0" w:space="0" w:color="auto"/>
                        <w:left w:val="none" w:sz="0" w:space="0" w:color="auto"/>
                        <w:bottom w:val="none" w:sz="0" w:space="0" w:color="auto"/>
                        <w:right w:val="none" w:sz="0" w:space="0" w:color="auto"/>
                      </w:divBdr>
                      <w:divsChild>
                        <w:div w:id="299844599">
                          <w:marLeft w:val="340"/>
                          <w:marRight w:val="0"/>
                          <w:marTop w:val="300"/>
                          <w:marBottom w:val="120"/>
                          <w:divBdr>
                            <w:top w:val="none" w:sz="0" w:space="0" w:color="auto"/>
                            <w:left w:val="none" w:sz="0" w:space="0" w:color="auto"/>
                            <w:bottom w:val="none" w:sz="0" w:space="0" w:color="auto"/>
                            <w:right w:val="none" w:sz="0" w:space="0" w:color="auto"/>
                          </w:divBdr>
                          <w:divsChild>
                            <w:div w:id="589046363">
                              <w:marLeft w:val="0"/>
                              <w:marRight w:val="0"/>
                              <w:marTop w:val="0"/>
                              <w:marBottom w:val="0"/>
                              <w:divBdr>
                                <w:top w:val="none" w:sz="0" w:space="0" w:color="auto"/>
                                <w:left w:val="none" w:sz="0" w:space="0" w:color="auto"/>
                                <w:bottom w:val="none" w:sz="0" w:space="0" w:color="auto"/>
                                <w:right w:val="none" w:sz="0" w:space="0" w:color="auto"/>
                              </w:divBdr>
                              <w:divsChild>
                                <w:div w:id="47214371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4077752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04492650">
                                          <w:blockQuote w:val="1"/>
                                          <w:marLeft w:val="600"/>
                                          <w:marRight w:val="0"/>
                                          <w:marTop w:val="120"/>
                                          <w:marBottom w:val="120"/>
                                          <w:divBdr>
                                            <w:top w:val="none" w:sz="0" w:space="0" w:color="auto"/>
                                            <w:left w:val="none" w:sz="0" w:space="0" w:color="auto"/>
                                            <w:bottom w:val="none" w:sz="0" w:space="0" w:color="auto"/>
                                            <w:right w:val="none" w:sz="0" w:space="0" w:color="auto"/>
                                          </w:divBdr>
                                        </w:div>
                                        <w:div w:id="1551840032">
                                          <w:blockQuote w:val="1"/>
                                          <w:marLeft w:val="600"/>
                                          <w:marRight w:val="0"/>
                                          <w:marTop w:val="120"/>
                                          <w:marBottom w:val="120"/>
                                          <w:divBdr>
                                            <w:top w:val="none" w:sz="0" w:space="0" w:color="auto"/>
                                            <w:left w:val="none" w:sz="0" w:space="0" w:color="auto"/>
                                            <w:bottom w:val="none" w:sz="0" w:space="0" w:color="auto"/>
                                            <w:right w:val="none" w:sz="0" w:space="0" w:color="auto"/>
                                          </w:divBdr>
                                        </w:div>
                                        <w:div w:id="183444517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2939098">
                                              <w:blockQuote w:val="1"/>
                                              <w:marLeft w:val="600"/>
                                              <w:marRight w:val="0"/>
                                              <w:marTop w:val="120"/>
                                              <w:marBottom w:val="120"/>
                                              <w:divBdr>
                                                <w:top w:val="none" w:sz="0" w:space="0" w:color="auto"/>
                                                <w:left w:val="none" w:sz="0" w:space="0" w:color="auto"/>
                                                <w:bottom w:val="none" w:sz="0" w:space="0" w:color="auto"/>
                                                <w:right w:val="none" w:sz="0" w:space="0" w:color="auto"/>
                                              </w:divBdr>
                                            </w:div>
                                            <w:div w:id="184477922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204610308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3104174">
      <w:bodyDiv w:val="1"/>
      <w:marLeft w:val="0"/>
      <w:marRight w:val="0"/>
      <w:marTop w:val="0"/>
      <w:marBottom w:val="0"/>
      <w:divBdr>
        <w:top w:val="none" w:sz="0" w:space="0" w:color="auto"/>
        <w:left w:val="none" w:sz="0" w:space="0" w:color="auto"/>
        <w:bottom w:val="none" w:sz="0" w:space="0" w:color="auto"/>
        <w:right w:val="none" w:sz="0" w:space="0" w:color="auto"/>
      </w:divBdr>
    </w:div>
    <w:div w:id="901716891">
      <w:bodyDiv w:val="1"/>
      <w:marLeft w:val="0"/>
      <w:marRight w:val="0"/>
      <w:marTop w:val="0"/>
      <w:marBottom w:val="0"/>
      <w:divBdr>
        <w:top w:val="none" w:sz="0" w:space="0" w:color="auto"/>
        <w:left w:val="none" w:sz="0" w:space="0" w:color="auto"/>
        <w:bottom w:val="none" w:sz="0" w:space="0" w:color="auto"/>
        <w:right w:val="none" w:sz="0" w:space="0" w:color="auto"/>
      </w:divBdr>
    </w:div>
    <w:div w:id="903685926">
      <w:bodyDiv w:val="1"/>
      <w:marLeft w:val="0"/>
      <w:marRight w:val="0"/>
      <w:marTop w:val="0"/>
      <w:marBottom w:val="0"/>
      <w:divBdr>
        <w:top w:val="none" w:sz="0" w:space="0" w:color="auto"/>
        <w:left w:val="none" w:sz="0" w:space="0" w:color="auto"/>
        <w:bottom w:val="none" w:sz="0" w:space="0" w:color="auto"/>
        <w:right w:val="none" w:sz="0" w:space="0" w:color="auto"/>
      </w:divBdr>
    </w:div>
    <w:div w:id="948316685">
      <w:bodyDiv w:val="1"/>
      <w:marLeft w:val="0"/>
      <w:marRight w:val="0"/>
      <w:marTop w:val="0"/>
      <w:marBottom w:val="0"/>
      <w:divBdr>
        <w:top w:val="none" w:sz="0" w:space="0" w:color="auto"/>
        <w:left w:val="none" w:sz="0" w:space="0" w:color="auto"/>
        <w:bottom w:val="none" w:sz="0" w:space="0" w:color="auto"/>
        <w:right w:val="none" w:sz="0" w:space="0" w:color="auto"/>
      </w:divBdr>
    </w:div>
    <w:div w:id="948665624">
      <w:bodyDiv w:val="1"/>
      <w:marLeft w:val="0"/>
      <w:marRight w:val="0"/>
      <w:marTop w:val="0"/>
      <w:marBottom w:val="0"/>
      <w:divBdr>
        <w:top w:val="none" w:sz="0" w:space="0" w:color="auto"/>
        <w:left w:val="none" w:sz="0" w:space="0" w:color="auto"/>
        <w:bottom w:val="none" w:sz="0" w:space="0" w:color="auto"/>
        <w:right w:val="none" w:sz="0" w:space="0" w:color="auto"/>
      </w:divBdr>
    </w:div>
    <w:div w:id="974674503">
      <w:bodyDiv w:val="1"/>
      <w:marLeft w:val="0"/>
      <w:marRight w:val="0"/>
      <w:marTop w:val="0"/>
      <w:marBottom w:val="0"/>
      <w:divBdr>
        <w:top w:val="none" w:sz="0" w:space="0" w:color="auto"/>
        <w:left w:val="none" w:sz="0" w:space="0" w:color="auto"/>
        <w:bottom w:val="none" w:sz="0" w:space="0" w:color="auto"/>
        <w:right w:val="none" w:sz="0" w:space="0" w:color="auto"/>
      </w:divBdr>
    </w:div>
    <w:div w:id="1042636381">
      <w:bodyDiv w:val="1"/>
      <w:marLeft w:val="0"/>
      <w:marRight w:val="0"/>
      <w:marTop w:val="0"/>
      <w:marBottom w:val="0"/>
      <w:divBdr>
        <w:top w:val="none" w:sz="0" w:space="0" w:color="auto"/>
        <w:left w:val="none" w:sz="0" w:space="0" w:color="auto"/>
        <w:bottom w:val="none" w:sz="0" w:space="0" w:color="auto"/>
        <w:right w:val="none" w:sz="0" w:space="0" w:color="auto"/>
      </w:divBdr>
      <w:divsChild>
        <w:div w:id="1192260844">
          <w:marLeft w:val="0"/>
          <w:marRight w:val="0"/>
          <w:marTop w:val="0"/>
          <w:marBottom w:val="0"/>
          <w:divBdr>
            <w:top w:val="none" w:sz="0" w:space="0" w:color="auto"/>
            <w:left w:val="none" w:sz="0" w:space="0" w:color="auto"/>
            <w:bottom w:val="none" w:sz="0" w:space="0" w:color="auto"/>
            <w:right w:val="none" w:sz="0" w:space="0" w:color="auto"/>
          </w:divBdr>
          <w:divsChild>
            <w:div w:id="523830768">
              <w:marLeft w:val="0"/>
              <w:marRight w:val="0"/>
              <w:marTop w:val="0"/>
              <w:marBottom w:val="0"/>
              <w:divBdr>
                <w:top w:val="none" w:sz="0" w:space="0" w:color="auto"/>
                <w:left w:val="none" w:sz="0" w:space="0" w:color="auto"/>
                <w:bottom w:val="none" w:sz="0" w:space="0" w:color="auto"/>
                <w:right w:val="none" w:sz="0" w:space="0" w:color="auto"/>
              </w:divBdr>
              <w:divsChild>
                <w:div w:id="1315842292">
                  <w:marLeft w:val="0"/>
                  <w:marRight w:val="0"/>
                  <w:marTop w:val="0"/>
                  <w:marBottom w:val="0"/>
                  <w:divBdr>
                    <w:top w:val="none" w:sz="0" w:space="0" w:color="auto"/>
                    <w:left w:val="none" w:sz="0" w:space="0" w:color="auto"/>
                    <w:bottom w:val="none" w:sz="0" w:space="0" w:color="auto"/>
                    <w:right w:val="none" w:sz="0" w:space="0" w:color="auto"/>
                  </w:divBdr>
                  <w:divsChild>
                    <w:div w:id="130102665">
                      <w:marLeft w:val="0"/>
                      <w:marRight w:val="0"/>
                      <w:marTop w:val="0"/>
                      <w:marBottom w:val="0"/>
                      <w:divBdr>
                        <w:top w:val="none" w:sz="0" w:space="0" w:color="auto"/>
                        <w:left w:val="none" w:sz="0" w:space="0" w:color="auto"/>
                        <w:bottom w:val="none" w:sz="0" w:space="0" w:color="auto"/>
                        <w:right w:val="none" w:sz="0" w:space="0" w:color="auto"/>
                      </w:divBdr>
                      <w:divsChild>
                        <w:div w:id="1164928698">
                          <w:marLeft w:val="0"/>
                          <w:marRight w:val="0"/>
                          <w:marTop w:val="0"/>
                          <w:marBottom w:val="0"/>
                          <w:divBdr>
                            <w:top w:val="none" w:sz="0" w:space="0" w:color="auto"/>
                            <w:left w:val="none" w:sz="0" w:space="0" w:color="auto"/>
                            <w:bottom w:val="none" w:sz="0" w:space="0" w:color="auto"/>
                            <w:right w:val="none" w:sz="0" w:space="0" w:color="auto"/>
                          </w:divBdr>
                          <w:divsChild>
                            <w:div w:id="1926187372">
                              <w:marLeft w:val="360"/>
                              <w:marRight w:val="0"/>
                              <w:marTop w:val="12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002281">
      <w:bodyDiv w:val="1"/>
      <w:marLeft w:val="0"/>
      <w:marRight w:val="0"/>
      <w:marTop w:val="0"/>
      <w:marBottom w:val="0"/>
      <w:divBdr>
        <w:top w:val="none" w:sz="0" w:space="0" w:color="auto"/>
        <w:left w:val="none" w:sz="0" w:space="0" w:color="auto"/>
        <w:bottom w:val="none" w:sz="0" w:space="0" w:color="auto"/>
        <w:right w:val="none" w:sz="0" w:space="0" w:color="auto"/>
      </w:divBdr>
      <w:divsChild>
        <w:div w:id="1163935336">
          <w:marLeft w:val="0"/>
          <w:marRight w:val="0"/>
          <w:marTop w:val="0"/>
          <w:marBottom w:val="0"/>
          <w:divBdr>
            <w:top w:val="none" w:sz="0" w:space="0" w:color="auto"/>
            <w:left w:val="none" w:sz="0" w:space="0" w:color="auto"/>
            <w:bottom w:val="none" w:sz="0" w:space="0" w:color="auto"/>
            <w:right w:val="none" w:sz="0" w:space="0" w:color="auto"/>
          </w:divBdr>
          <w:divsChild>
            <w:div w:id="2904418">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0"/>
                  <w:divBdr>
                    <w:top w:val="none" w:sz="0" w:space="0" w:color="auto"/>
                    <w:left w:val="none" w:sz="0" w:space="0" w:color="auto"/>
                    <w:bottom w:val="none" w:sz="0" w:space="0" w:color="auto"/>
                    <w:right w:val="none" w:sz="0" w:space="0" w:color="auto"/>
                  </w:divBdr>
                  <w:divsChild>
                    <w:div w:id="1094593929">
                      <w:marLeft w:val="0"/>
                      <w:marRight w:val="0"/>
                      <w:marTop w:val="0"/>
                      <w:marBottom w:val="0"/>
                      <w:divBdr>
                        <w:top w:val="none" w:sz="0" w:space="0" w:color="auto"/>
                        <w:left w:val="none" w:sz="0" w:space="0" w:color="auto"/>
                        <w:bottom w:val="none" w:sz="0" w:space="0" w:color="auto"/>
                        <w:right w:val="none" w:sz="0" w:space="0" w:color="auto"/>
                      </w:divBdr>
                      <w:divsChild>
                        <w:div w:id="25523170">
                          <w:marLeft w:val="0"/>
                          <w:marRight w:val="0"/>
                          <w:marTop w:val="0"/>
                          <w:marBottom w:val="0"/>
                          <w:divBdr>
                            <w:top w:val="none" w:sz="0" w:space="0" w:color="auto"/>
                            <w:left w:val="none" w:sz="0" w:space="0" w:color="auto"/>
                            <w:bottom w:val="none" w:sz="0" w:space="0" w:color="auto"/>
                            <w:right w:val="none" w:sz="0" w:space="0" w:color="auto"/>
                          </w:divBdr>
                          <w:divsChild>
                            <w:div w:id="309555218">
                              <w:marLeft w:val="0"/>
                              <w:marRight w:val="0"/>
                              <w:marTop w:val="0"/>
                              <w:marBottom w:val="0"/>
                              <w:divBdr>
                                <w:top w:val="none" w:sz="0" w:space="0" w:color="auto"/>
                                <w:left w:val="none" w:sz="0" w:space="0" w:color="auto"/>
                                <w:bottom w:val="none" w:sz="0" w:space="0" w:color="auto"/>
                                <w:right w:val="none" w:sz="0" w:space="0" w:color="auto"/>
                              </w:divBdr>
                              <w:divsChild>
                                <w:div w:id="173318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3639814">
      <w:bodyDiv w:val="1"/>
      <w:marLeft w:val="0"/>
      <w:marRight w:val="0"/>
      <w:marTop w:val="0"/>
      <w:marBottom w:val="0"/>
      <w:divBdr>
        <w:top w:val="none" w:sz="0" w:space="0" w:color="auto"/>
        <w:left w:val="none" w:sz="0" w:space="0" w:color="auto"/>
        <w:bottom w:val="none" w:sz="0" w:space="0" w:color="auto"/>
        <w:right w:val="none" w:sz="0" w:space="0" w:color="auto"/>
      </w:divBdr>
    </w:div>
    <w:div w:id="1204093774">
      <w:bodyDiv w:val="1"/>
      <w:marLeft w:val="0"/>
      <w:marRight w:val="0"/>
      <w:marTop w:val="0"/>
      <w:marBottom w:val="0"/>
      <w:divBdr>
        <w:top w:val="none" w:sz="0" w:space="0" w:color="auto"/>
        <w:left w:val="none" w:sz="0" w:space="0" w:color="auto"/>
        <w:bottom w:val="none" w:sz="0" w:space="0" w:color="auto"/>
        <w:right w:val="none" w:sz="0" w:space="0" w:color="auto"/>
      </w:divBdr>
    </w:div>
    <w:div w:id="1208761882">
      <w:bodyDiv w:val="1"/>
      <w:marLeft w:val="0"/>
      <w:marRight w:val="0"/>
      <w:marTop w:val="0"/>
      <w:marBottom w:val="0"/>
      <w:divBdr>
        <w:top w:val="none" w:sz="0" w:space="0" w:color="auto"/>
        <w:left w:val="none" w:sz="0" w:space="0" w:color="auto"/>
        <w:bottom w:val="none" w:sz="0" w:space="0" w:color="auto"/>
        <w:right w:val="none" w:sz="0" w:space="0" w:color="auto"/>
      </w:divBdr>
      <w:divsChild>
        <w:div w:id="1620407866">
          <w:marLeft w:val="0"/>
          <w:marRight w:val="0"/>
          <w:marTop w:val="0"/>
          <w:marBottom w:val="0"/>
          <w:divBdr>
            <w:top w:val="none" w:sz="0" w:space="0" w:color="auto"/>
            <w:left w:val="none" w:sz="0" w:space="0" w:color="auto"/>
            <w:bottom w:val="none" w:sz="0" w:space="0" w:color="auto"/>
            <w:right w:val="none" w:sz="0" w:space="0" w:color="auto"/>
          </w:divBdr>
          <w:divsChild>
            <w:div w:id="326325400">
              <w:marLeft w:val="0"/>
              <w:marRight w:val="0"/>
              <w:marTop w:val="0"/>
              <w:marBottom w:val="0"/>
              <w:divBdr>
                <w:top w:val="none" w:sz="0" w:space="0" w:color="auto"/>
                <w:left w:val="none" w:sz="0" w:space="0" w:color="auto"/>
                <w:bottom w:val="none" w:sz="0" w:space="0" w:color="auto"/>
                <w:right w:val="none" w:sz="0" w:space="0" w:color="auto"/>
              </w:divBdr>
              <w:divsChild>
                <w:div w:id="547566389">
                  <w:marLeft w:val="0"/>
                  <w:marRight w:val="0"/>
                  <w:marTop w:val="0"/>
                  <w:marBottom w:val="0"/>
                  <w:divBdr>
                    <w:top w:val="none" w:sz="0" w:space="0" w:color="auto"/>
                    <w:left w:val="none" w:sz="0" w:space="0" w:color="auto"/>
                    <w:bottom w:val="none" w:sz="0" w:space="0" w:color="auto"/>
                    <w:right w:val="none" w:sz="0" w:space="0" w:color="auto"/>
                  </w:divBdr>
                  <w:divsChild>
                    <w:div w:id="1513253980">
                      <w:marLeft w:val="0"/>
                      <w:marRight w:val="0"/>
                      <w:marTop w:val="0"/>
                      <w:marBottom w:val="0"/>
                      <w:divBdr>
                        <w:top w:val="none" w:sz="0" w:space="0" w:color="auto"/>
                        <w:left w:val="none" w:sz="0" w:space="0" w:color="auto"/>
                        <w:bottom w:val="none" w:sz="0" w:space="0" w:color="auto"/>
                        <w:right w:val="none" w:sz="0" w:space="0" w:color="auto"/>
                      </w:divBdr>
                      <w:divsChild>
                        <w:div w:id="159986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793016">
      <w:bodyDiv w:val="1"/>
      <w:marLeft w:val="0"/>
      <w:marRight w:val="0"/>
      <w:marTop w:val="0"/>
      <w:marBottom w:val="0"/>
      <w:divBdr>
        <w:top w:val="none" w:sz="0" w:space="0" w:color="auto"/>
        <w:left w:val="none" w:sz="0" w:space="0" w:color="auto"/>
        <w:bottom w:val="none" w:sz="0" w:space="0" w:color="auto"/>
        <w:right w:val="none" w:sz="0" w:space="0" w:color="auto"/>
      </w:divBdr>
      <w:divsChild>
        <w:div w:id="817266218">
          <w:marLeft w:val="0"/>
          <w:marRight w:val="0"/>
          <w:marTop w:val="0"/>
          <w:marBottom w:val="0"/>
          <w:divBdr>
            <w:top w:val="none" w:sz="0" w:space="0" w:color="auto"/>
            <w:left w:val="none" w:sz="0" w:space="0" w:color="auto"/>
            <w:bottom w:val="none" w:sz="0" w:space="0" w:color="auto"/>
            <w:right w:val="none" w:sz="0" w:space="0" w:color="auto"/>
          </w:divBdr>
          <w:divsChild>
            <w:div w:id="1015155190">
              <w:marLeft w:val="0"/>
              <w:marRight w:val="0"/>
              <w:marTop w:val="0"/>
              <w:marBottom w:val="0"/>
              <w:divBdr>
                <w:top w:val="none" w:sz="0" w:space="0" w:color="auto"/>
                <w:left w:val="none" w:sz="0" w:space="0" w:color="auto"/>
                <w:bottom w:val="none" w:sz="0" w:space="0" w:color="auto"/>
                <w:right w:val="none" w:sz="0" w:space="0" w:color="auto"/>
              </w:divBdr>
              <w:divsChild>
                <w:div w:id="771702706">
                  <w:marLeft w:val="0"/>
                  <w:marRight w:val="0"/>
                  <w:marTop w:val="0"/>
                  <w:marBottom w:val="0"/>
                  <w:divBdr>
                    <w:top w:val="none" w:sz="0" w:space="0" w:color="auto"/>
                    <w:left w:val="none" w:sz="0" w:space="0" w:color="auto"/>
                    <w:bottom w:val="none" w:sz="0" w:space="0" w:color="auto"/>
                    <w:right w:val="none" w:sz="0" w:space="0" w:color="auto"/>
                  </w:divBdr>
                  <w:divsChild>
                    <w:div w:id="583681293">
                      <w:marLeft w:val="0"/>
                      <w:marRight w:val="0"/>
                      <w:marTop w:val="0"/>
                      <w:marBottom w:val="0"/>
                      <w:divBdr>
                        <w:top w:val="none" w:sz="0" w:space="0" w:color="auto"/>
                        <w:left w:val="none" w:sz="0" w:space="0" w:color="auto"/>
                        <w:bottom w:val="none" w:sz="0" w:space="0" w:color="auto"/>
                        <w:right w:val="none" w:sz="0" w:space="0" w:color="auto"/>
                      </w:divBdr>
                      <w:divsChild>
                        <w:div w:id="265893476">
                          <w:marLeft w:val="340"/>
                          <w:marRight w:val="0"/>
                          <w:marTop w:val="300"/>
                          <w:marBottom w:val="120"/>
                          <w:divBdr>
                            <w:top w:val="none" w:sz="0" w:space="0" w:color="auto"/>
                            <w:left w:val="none" w:sz="0" w:space="0" w:color="auto"/>
                            <w:bottom w:val="none" w:sz="0" w:space="0" w:color="auto"/>
                            <w:right w:val="none" w:sz="0" w:space="0" w:color="auto"/>
                          </w:divBdr>
                          <w:divsChild>
                            <w:div w:id="1341198274">
                              <w:marLeft w:val="0"/>
                              <w:marRight w:val="0"/>
                              <w:marTop w:val="0"/>
                              <w:marBottom w:val="0"/>
                              <w:divBdr>
                                <w:top w:val="none" w:sz="0" w:space="0" w:color="auto"/>
                                <w:left w:val="none" w:sz="0" w:space="0" w:color="auto"/>
                                <w:bottom w:val="none" w:sz="0" w:space="0" w:color="auto"/>
                                <w:right w:val="none" w:sz="0" w:space="0" w:color="auto"/>
                              </w:divBdr>
                              <w:divsChild>
                                <w:div w:id="146769797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73705472">
                                      <w:blockQuote w:val="1"/>
                                      <w:marLeft w:val="600"/>
                                      <w:marRight w:val="0"/>
                                      <w:marTop w:val="120"/>
                                      <w:marBottom w:val="120"/>
                                      <w:divBdr>
                                        <w:top w:val="none" w:sz="0" w:space="0" w:color="auto"/>
                                        <w:left w:val="none" w:sz="0" w:space="0" w:color="auto"/>
                                        <w:bottom w:val="none" w:sz="0" w:space="0" w:color="auto"/>
                                        <w:right w:val="none" w:sz="0" w:space="0" w:color="auto"/>
                                      </w:divBdr>
                                    </w:div>
                                    <w:div w:id="638190383">
                                      <w:blockQuote w:val="1"/>
                                      <w:marLeft w:val="600"/>
                                      <w:marRight w:val="0"/>
                                      <w:marTop w:val="120"/>
                                      <w:marBottom w:val="120"/>
                                      <w:divBdr>
                                        <w:top w:val="none" w:sz="0" w:space="0" w:color="auto"/>
                                        <w:left w:val="none" w:sz="0" w:space="0" w:color="auto"/>
                                        <w:bottom w:val="none" w:sz="0" w:space="0" w:color="auto"/>
                                        <w:right w:val="none" w:sz="0" w:space="0" w:color="auto"/>
                                      </w:divBdr>
                                    </w:div>
                                    <w:div w:id="854804673">
                                      <w:blockQuote w:val="1"/>
                                      <w:marLeft w:val="600"/>
                                      <w:marRight w:val="0"/>
                                      <w:marTop w:val="120"/>
                                      <w:marBottom w:val="120"/>
                                      <w:divBdr>
                                        <w:top w:val="none" w:sz="0" w:space="0" w:color="auto"/>
                                        <w:left w:val="none" w:sz="0" w:space="0" w:color="auto"/>
                                        <w:bottom w:val="none" w:sz="0" w:space="0" w:color="auto"/>
                                        <w:right w:val="none" w:sz="0" w:space="0" w:color="auto"/>
                                      </w:divBdr>
                                    </w:div>
                                    <w:div w:id="94080181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620656">
      <w:bodyDiv w:val="1"/>
      <w:marLeft w:val="0"/>
      <w:marRight w:val="0"/>
      <w:marTop w:val="0"/>
      <w:marBottom w:val="0"/>
      <w:divBdr>
        <w:top w:val="none" w:sz="0" w:space="0" w:color="auto"/>
        <w:left w:val="none" w:sz="0" w:space="0" w:color="auto"/>
        <w:bottom w:val="none" w:sz="0" w:space="0" w:color="auto"/>
        <w:right w:val="none" w:sz="0" w:space="0" w:color="auto"/>
      </w:divBdr>
      <w:divsChild>
        <w:div w:id="547112857">
          <w:marLeft w:val="0"/>
          <w:marRight w:val="0"/>
          <w:marTop w:val="0"/>
          <w:marBottom w:val="0"/>
          <w:divBdr>
            <w:top w:val="none" w:sz="0" w:space="0" w:color="auto"/>
            <w:left w:val="none" w:sz="0" w:space="0" w:color="auto"/>
            <w:bottom w:val="none" w:sz="0" w:space="0" w:color="auto"/>
            <w:right w:val="none" w:sz="0" w:space="0" w:color="auto"/>
          </w:divBdr>
          <w:divsChild>
            <w:div w:id="2098473294">
              <w:marLeft w:val="0"/>
              <w:marRight w:val="0"/>
              <w:marTop w:val="0"/>
              <w:marBottom w:val="0"/>
              <w:divBdr>
                <w:top w:val="none" w:sz="0" w:space="0" w:color="auto"/>
                <w:left w:val="none" w:sz="0" w:space="0" w:color="auto"/>
                <w:bottom w:val="none" w:sz="0" w:space="0" w:color="auto"/>
                <w:right w:val="none" w:sz="0" w:space="0" w:color="auto"/>
              </w:divBdr>
              <w:divsChild>
                <w:div w:id="1537696484">
                  <w:marLeft w:val="0"/>
                  <w:marRight w:val="0"/>
                  <w:marTop w:val="0"/>
                  <w:marBottom w:val="0"/>
                  <w:divBdr>
                    <w:top w:val="none" w:sz="0" w:space="0" w:color="auto"/>
                    <w:left w:val="none" w:sz="0" w:space="0" w:color="auto"/>
                    <w:bottom w:val="none" w:sz="0" w:space="0" w:color="auto"/>
                    <w:right w:val="none" w:sz="0" w:space="0" w:color="auto"/>
                  </w:divBdr>
                  <w:divsChild>
                    <w:div w:id="261110967">
                      <w:marLeft w:val="0"/>
                      <w:marRight w:val="0"/>
                      <w:marTop w:val="0"/>
                      <w:marBottom w:val="0"/>
                      <w:divBdr>
                        <w:top w:val="none" w:sz="0" w:space="0" w:color="auto"/>
                        <w:left w:val="none" w:sz="0" w:space="0" w:color="auto"/>
                        <w:bottom w:val="none" w:sz="0" w:space="0" w:color="auto"/>
                        <w:right w:val="none" w:sz="0" w:space="0" w:color="auto"/>
                      </w:divBdr>
                      <w:divsChild>
                        <w:div w:id="1183594353">
                          <w:marLeft w:val="0"/>
                          <w:marRight w:val="0"/>
                          <w:marTop w:val="0"/>
                          <w:marBottom w:val="0"/>
                          <w:divBdr>
                            <w:top w:val="none" w:sz="0" w:space="0" w:color="auto"/>
                            <w:left w:val="none" w:sz="0" w:space="0" w:color="auto"/>
                            <w:bottom w:val="none" w:sz="0" w:space="0" w:color="auto"/>
                            <w:right w:val="none" w:sz="0" w:space="0" w:color="auto"/>
                          </w:divBdr>
                          <w:divsChild>
                            <w:div w:id="6374022">
                              <w:marLeft w:val="0"/>
                              <w:marRight w:val="0"/>
                              <w:marTop w:val="0"/>
                              <w:marBottom w:val="0"/>
                              <w:divBdr>
                                <w:top w:val="none" w:sz="0" w:space="0" w:color="auto"/>
                                <w:left w:val="none" w:sz="0" w:space="0" w:color="auto"/>
                                <w:bottom w:val="none" w:sz="0" w:space="0" w:color="auto"/>
                                <w:right w:val="none" w:sz="0" w:space="0" w:color="auto"/>
                              </w:divBdr>
                            </w:div>
                            <w:div w:id="601958219">
                              <w:marLeft w:val="0"/>
                              <w:marRight w:val="0"/>
                              <w:marTop w:val="0"/>
                              <w:marBottom w:val="0"/>
                              <w:divBdr>
                                <w:top w:val="none" w:sz="0" w:space="0" w:color="auto"/>
                                <w:left w:val="none" w:sz="0" w:space="0" w:color="auto"/>
                                <w:bottom w:val="none" w:sz="0" w:space="0" w:color="auto"/>
                                <w:right w:val="none" w:sz="0" w:space="0" w:color="auto"/>
                              </w:divBdr>
                            </w:div>
                            <w:div w:id="1170021295">
                              <w:marLeft w:val="0"/>
                              <w:marRight w:val="0"/>
                              <w:marTop w:val="0"/>
                              <w:marBottom w:val="0"/>
                              <w:divBdr>
                                <w:top w:val="none" w:sz="0" w:space="0" w:color="auto"/>
                                <w:left w:val="none" w:sz="0" w:space="0" w:color="auto"/>
                                <w:bottom w:val="none" w:sz="0" w:space="0" w:color="auto"/>
                                <w:right w:val="none" w:sz="0" w:space="0" w:color="auto"/>
                              </w:divBdr>
                            </w:div>
                            <w:div w:id="1726568099">
                              <w:marLeft w:val="0"/>
                              <w:marRight w:val="0"/>
                              <w:marTop w:val="0"/>
                              <w:marBottom w:val="0"/>
                              <w:divBdr>
                                <w:top w:val="none" w:sz="0" w:space="0" w:color="auto"/>
                                <w:left w:val="none" w:sz="0" w:space="0" w:color="auto"/>
                                <w:bottom w:val="none" w:sz="0" w:space="0" w:color="auto"/>
                                <w:right w:val="none" w:sz="0" w:space="0" w:color="auto"/>
                              </w:divBdr>
                              <w:divsChild>
                                <w:div w:id="2166459">
                                  <w:marLeft w:val="0"/>
                                  <w:marRight w:val="0"/>
                                  <w:marTop w:val="0"/>
                                  <w:marBottom w:val="0"/>
                                  <w:divBdr>
                                    <w:top w:val="none" w:sz="0" w:space="0" w:color="auto"/>
                                    <w:left w:val="none" w:sz="0" w:space="0" w:color="auto"/>
                                    <w:bottom w:val="none" w:sz="0" w:space="0" w:color="auto"/>
                                    <w:right w:val="none" w:sz="0" w:space="0" w:color="auto"/>
                                  </w:divBdr>
                                </w:div>
                                <w:div w:id="116919120">
                                  <w:marLeft w:val="0"/>
                                  <w:marRight w:val="0"/>
                                  <w:marTop w:val="0"/>
                                  <w:marBottom w:val="0"/>
                                  <w:divBdr>
                                    <w:top w:val="none" w:sz="0" w:space="0" w:color="auto"/>
                                    <w:left w:val="none" w:sz="0" w:space="0" w:color="auto"/>
                                    <w:bottom w:val="none" w:sz="0" w:space="0" w:color="auto"/>
                                    <w:right w:val="none" w:sz="0" w:space="0" w:color="auto"/>
                                  </w:divBdr>
                                </w:div>
                                <w:div w:id="133527624">
                                  <w:marLeft w:val="0"/>
                                  <w:marRight w:val="0"/>
                                  <w:marTop w:val="0"/>
                                  <w:marBottom w:val="0"/>
                                  <w:divBdr>
                                    <w:top w:val="none" w:sz="0" w:space="0" w:color="auto"/>
                                    <w:left w:val="none" w:sz="0" w:space="0" w:color="auto"/>
                                    <w:bottom w:val="none" w:sz="0" w:space="0" w:color="auto"/>
                                    <w:right w:val="none" w:sz="0" w:space="0" w:color="auto"/>
                                  </w:divBdr>
                                </w:div>
                                <w:div w:id="284774369">
                                  <w:marLeft w:val="0"/>
                                  <w:marRight w:val="0"/>
                                  <w:marTop w:val="0"/>
                                  <w:marBottom w:val="0"/>
                                  <w:divBdr>
                                    <w:top w:val="none" w:sz="0" w:space="0" w:color="auto"/>
                                    <w:left w:val="none" w:sz="0" w:space="0" w:color="auto"/>
                                    <w:bottom w:val="none" w:sz="0" w:space="0" w:color="auto"/>
                                    <w:right w:val="none" w:sz="0" w:space="0" w:color="auto"/>
                                  </w:divBdr>
                                </w:div>
                                <w:div w:id="327246613">
                                  <w:marLeft w:val="0"/>
                                  <w:marRight w:val="0"/>
                                  <w:marTop w:val="0"/>
                                  <w:marBottom w:val="0"/>
                                  <w:divBdr>
                                    <w:top w:val="none" w:sz="0" w:space="0" w:color="auto"/>
                                    <w:left w:val="none" w:sz="0" w:space="0" w:color="auto"/>
                                    <w:bottom w:val="none" w:sz="0" w:space="0" w:color="auto"/>
                                    <w:right w:val="none" w:sz="0" w:space="0" w:color="auto"/>
                                  </w:divBdr>
                                </w:div>
                                <w:div w:id="393745224">
                                  <w:marLeft w:val="0"/>
                                  <w:marRight w:val="0"/>
                                  <w:marTop w:val="0"/>
                                  <w:marBottom w:val="0"/>
                                  <w:divBdr>
                                    <w:top w:val="none" w:sz="0" w:space="0" w:color="auto"/>
                                    <w:left w:val="none" w:sz="0" w:space="0" w:color="auto"/>
                                    <w:bottom w:val="none" w:sz="0" w:space="0" w:color="auto"/>
                                    <w:right w:val="none" w:sz="0" w:space="0" w:color="auto"/>
                                  </w:divBdr>
                                </w:div>
                                <w:div w:id="837040308">
                                  <w:marLeft w:val="0"/>
                                  <w:marRight w:val="0"/>
                                  <w:marTop w:val="0"/>
                                  <w:marBottom w:val="0"/>
                                  <w:divBdr>
                                    <w:top w:val="none" w:sz="0" w:space="0" w:color="auto"/>
                                    <w:left w:val="none" w:sz="0" w:space="0" w:color="auto"/>
                                    <w:bottom w:val="none" w:sz="0" w:space="0" w:color="auto"/>
                                    <w:right w:val="none" w:sz="0" w:space="0" w:color="auto"/>
                                  </w:divBdr>
                                </w:div>
                                <w:div w:id="953364720">
                                  <w:marLeft w:val="0"/>
                                  <w:marRight w:val="0"/>
                                  <w:marTop w:val="0"/>
                                  <w:marBottom w:val="0"/>
                                  <w:divBdr>
                                    <w:top w:val="none" w:sz="0" w:space="0" w:color="auto"/>
                                    <w:left w:val="none" w:sz="0" w:space="0" w:color="auto"/>
                                    <w:bottom w:val="none" w:sz="0" w:space="0" w:color="auto"/>
                                    <w:right w:val="none" w:sz="0" w:space="0" w:color="auto"/>
                                  </w:divBdr>
                                </w:div>
                                <w:div w:id="1200779077">
                                  <w:marLeft w:val="0"/>
                                  <w:marRight w:val="0"/>
                                  <w:marTop w:val="0"/>
                                  <w:marBottom w:val="0"/>
                                  <w:divBdr>
                                    <w:top w:val="none" w:sz="0" w:space="0" w:color="auto"/>
                                    <w:left w:val="none" w:sz="0" w:space="0" w:color="auto"/>
                                    <w:bottom w:val="none" w:sz="0" w:space="0" w:color="auto"/>
                                    <w:right w:val="none" w:sz="0" w:space="0" w:color="auto"/>
                                  </w:divBdr>
                                </w:div>
                                <w:div w:id="1292247626">
                                  <w:marLeft w:val="0"/>
                                  <w:marRight w:val="0"/>
                                  <w:marTop w:val="0"/>
                                  <w:marBottom w:val="0"/>
                                  <w:divBdr>
                                    <w:top w:val="none" w:sz="0" w:space="0" w:color="auto"/>
                                    <w:left w:val="none" w:sz="0" w:space="0" w:color="auto"/>
                                    <w:bottom w:val="none" w:sz="0" w:space="0" w:color="auto"/>
                                    <w:right w:val="none" w:sz="0" w:space="0" w:color="auto"/>
                                  </w:divBdr>
                                </w:div>
                                <w:div w:id="1684211198">
                                  <w:marLeft w:val="0"/>
                                  <w:marRight w:val="0"/>
                                  <w:marTop w:val="0"/>
                                  <w:marBottom w:val="0"/>
                                  <w:divBdr>
                                    <w:top w:val="none" w:sz="0" w:space="0" w:color="auto"/>
                                    <w:left w:val="none" w:sz="0" w:space="0" w:color="auto"/>
                                    <w:bottom w:val="none" w:sz="0" w:space="0" w:color="auto"/>
                                    <w:right w:val="none" w:sz="0" w:space="0" w:color="auto"/>
                                  </w:divBdr>
                                </w:div>
                                <w:div w:id="1925190340">
                                  <w:marLeft w:val="0"/>
                                  <w:marRight w:val="0"/>
                                  <w:marTop w:val="0"/>
                                  <w:marBottom w:val="0"/>
                                  <w:divBdr>
                                    <w:top w:val="none" w:sz="0" w:space="0" w:color="auto"/>
                                    <w:left w:val="none" w:sz="0" w:space="0" w:color="auto"/>
                                    <w:bottom w:val="none" w:sz="0" w:space="0" w:color="auto"/>
                                    <w:right w:val="none" w:sz="0" w:space="0" w:color="auto"/>
                                  </w:divBdr>
                                </w:div>
                                <w:div w:id="2023509315">
                                  <w:marLeft w:val="0"/>
                                  <w:marRight w:val="0"/>
                                  <w:marTop w:val="0"/>
                                  <w:marBottom w:val="0"/>
                                  <w:divBdr>
                                    <w:top w:val="none" w:sz="0" w:space="0" w:color="auto"/>
                                    <w:left w:val="none" w:sz="0" w:space="0" w:color="auto"/>
                                    <w:bottom w:val="none" w:sz="0" w:space="0" w:color="auto"/>
                                    <w:right w:val="none" w:sz="0" w:space="0" w:color="auto"/>
                                  </w:divBdr>
                                </w:div>
                              </w:divsChild>
                            </w:div>
                            <w:div w:id="1986353483">
                              <w:marLeft w:val="0"/>
                              <w:marRight w:val="0"/>
                              <w:marTop w:val="0"/>
                              <w:marBottom w:val="0"/>
                              <w:divBdr>
                                <w:top w:val="none" w:sz="0" w:space="0" w:color="auto"/>
                                <w:left w:val="none" w:sz="0" w:space="0" w:color="auto"/>
                                <w:bottom w:val="none" w:sz="0" w:space="0" w:color="auto"/>
                                <w:right w:val="none" w:sz="0" w:space="0" w:color="auto"/>
                              </w:divBdr>
                              <w:divsChild>
                                <w:div w:id="56781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669266">
      <w:bodyDiv w:val="1"/>
      <w:marLeft w:val="0"/>
      <w:marRight w:val="0"/>
      <w:marTop w:val="0"/>
      <w:marBottom w:val="0"/>
      <w:divBdr>
        <w:top w:val="none" w:sz="0" w:space="0" w:color="auto"/>
        <w:left w:val="none" w:sz="0" w:space="0" w:color="auto"/>
        <w:bottom w:val="none" w:sz="0" w:space="0" w:color="auto"/>
        <w:right w:val="none" w:sz="0" w:space="0" w:color="auto"/>
      </w:divBdr>
    </w:div>
    <w:div w:id="1404333142">
      <w:bodyDiv w:val="1"/>
      <w:marLeft w:val="0"/>
      <w:marRight w:val="0"/>
      <w:marTop w:val="0"/>
      <w:marBottom w:val="0"/>
      <w:divBdr>
        <w:top w:val="none" w:sz="0" w:space="0" w:color="auto"/>
        <w:left w:val="none" w:sz="0" w:space="0" w:color="auto"/>
        <w:bottom w:val="none" w:sz="0" w:space="0" w:color="auto"/>
        <w:right w:val="none" w:sz="0" w:space="0" w:color="auto"/>
      </w:divBdr>
      <w:divsChild>
        <w:div w:id="1380401479">
          <w:marLeft w:val="0"/>
          <w:marRight w:val="0"/>
          <w:marTop w:val="0"/>
          <w:marBottom w:val="0"/>
          <w:divBdr>
            <w:top w:val="none" w:sz="0" w:space="0" w:color="auto"/>
            <w:left w:val="none" w:sz="0" w:space="0" w:color="auto"/>
            <w:bottom w:val="none" w:sz="0" w:space="0" w:color="auto"/>
            <w:right w:val="none" w:sz="0" w:space="0" w:color="auto"/>
          </w:divBdr>
          <w:divsChild>
            <w:div w:id="1529760292">
              <w:marLeft w:val="0"/>
              <w:marRight w:val="0"/>
              <w:marTop w:val="0"/>
              <w:marBottom w:val="0"/>
              <w:divBdr>
                <w:top w:val="none" w:sz="0" w:space="0" w:color="auto"/>
                <w:left w:val="none" w:sz="0" w:space="0" w:color="auto"/>
                <w:bottom w:val="none" w:sz="0" w:space="0" w:color="auto"/>
                <w:right w:val="none" w:sz="0" w:space="0" w:color="auto"/>
              </w:divBdr>
              <w:divsChild>
                <w:div w:id="1251508125">
                  <w:marLeft w:val="0"/>
                  <w:marRight w:val="0"/>
                  <w:marTop w:val="0"/>
                  <w:marBottom w:val="0"/>
                  <w:divBdr>
                    <w:top w:val="none" w:sz="0" w:space="0" w:color="auto"/>
                    <w:left w:val="none" w:sz="0" w:space="0" w:color="auto"/>
                    <w:bottom w:val="none" w:sz="0" w:space="0" w:color="auto"/>
                    <w:right w:val="none" w:sz="0" w:space="0" w:color="auto"/>
                  </w:divBdr>
                  <w:divsChild>
                    <w:div w:id="264076492">
                      <w:marLeft w:val="0"/>
                      <w:marRight w:val="0"/>
                      <w:marTop w:val="0"/>
                      <w:marBottom w:val="0"/>
                      <w:divBdr>
                        <w:top w:val="none" w:sz="0" w:space="0" w:color="auto"/>
                        <w:left w:val="none" w:sz="0" w:space="0" w:color="auto"/>
                        <w:bottom w:val="none" w:sz="0" w:space="0" w:color="auto"/>
                        <w:right w:val="none" w:sz="0" w:space="0" w:color="auto"/>
                      </w:divBdr>
                      <w:divsChild>
                        <w:div w:id="90205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322735">
      <w:bodyDiv w:val="1"/>
      <w:marLeft w:val="0"/>
      <w:marRight w:val="0"/>
      <w:marTop w:val="0"/>
      <w:marBottom w:val="0"/>
      <w:divBdr>
        <w:top w:val="none" w:sz="0" w:space="0" w:color="auto"/>
        <w:left w:val="none" w:sz="0" w:space="0" w:color="auto"/>
        <w:bottom w:val="none" w:sz="0" w:space="0" w:color="auto"/>
        <w:right w:val="none" w:sz="0" w:space="0" w:color="auto"/>
      </w:divBdr>
    </w:div>
    <w:div w:id="1531528343">
      <w:bodyDiv w:val="1"/>
      <w:marLeft w:val="0"/>
      <w:marRight w:val="0"/>
      <w:marTop w:val="0"/>
      <w:marBottom w:val="0"/>
      <w:divBdr>
        <w:top w:val="none" w:sz="0" w:space="0" w:color="auto"/>
        <w:left w:val="none" w:sz="0" w:space="0" w:color="auto"/>
        <w:bottom w:val="none" w:sz="0" w:space="0" w:color="auto"/>
        <w:right w:val="none" w:sz="0" w:space="0" w:color="auto"/>
      </w:divBdr>
    </w:div>
    <w:div w:id="1531603027">
      <w:bodyDiv w:val="1"/>
      <w:marLeft w:val="0"/>
      <w:marRight w:val="0"/>
      <w:marTop w:val="0"/>
      <w:marBottom w:val="0"/>
      <w:divBdr>
        <w:top w:val="none" w:sz="0" w:space="0" w:color="auto"/>
        <w:left w:val="none" w:sz="0" w:space="0" w:color="auto"/>
        <w:bottom w:val="none" w:sz="0" w:space="0" w:color="auto"/>
        <w:right w:val="none" w:sz="0" w:space="0" w:color="auto"/>
      </w:divBdr>
    </w:div>
    <w:div w:id="1605533131">
      <w:bodyDiv w:val="1"/>
      <w:marLeft w:val="0"/>
      <w:marRight w:val="0"/>
      <w:marTop w:val="0"/>
      <w:marBottom w:val="0"/>
      <w:divBdr>
        <w:top w:val="none" w:sz="0" w:space="0" w:color="auto"/>
        <w:left w:val="none" w:sz="0" w:space="0" w:color="auto"/>
        <w:bottom w:val="none" w:sz="0" w:space="0" w:color="auto"/>
        <w:right w:val="none" w:sz="0" w:space="0" w:color="auto"/>
      </w:divBdr>
    </w:div>
    <w:div w:id="1621841965">
      <w:bodyDiv w:val="1"/>
      <w:marLeft w:val="0"/>
      <w:marRight w:val="0"/>
      <w:marTop w:val="0"/>
      <w:marBottom w:val="0"/>
      <w:divBdr>
        <w:top w:val="none" w:sz="0" w:space="0" w:color="auto"/>
        <w:left w:val="none" w:sz="0" w:space="0" w:color="auto"/>
        <w:bottom w:val="none" w:sz="0" w:space="0" w:color="auto"/>
        <w:right w:val="none" w:sz="0" w:space="0" w:color="auto"/>
      </w:divBdr>
    </w:div>
    <w:div w:id="1649937642">
      <w:bodyDiv w:val="1"/>
      <w:marLeft w:val="0"/>
      <w:marRight w:val="0"/>
      <w:marTop w:val="0"/>
      <w:marBottom w:val="0"/>
      <w:divBdr>
        <w:top w:val="none" w:sz="0" w:space="0" w:color="auto"/>
        <w:left w:val="none" w:sz="0" w:space="0" w:color="auto"/>
        <w:bottom w:val="none" w:sz="0" w:space="0" w:color="auto"/>
        <w:right w:val="none" w:sz="0" w:space="0" w:color="auto"/>
      </w:divBdr>
      <w:divsChild>
        <w:div w:id="256643699">
          <w:marLeft w:val="0"/>
          <w:marRight w:val="0"/>
          <w:marTop w:val="0"/>
          <w:marBottom w:val="0"/>
          <w:divBdr>
            <w:top w:val="none" w:sz="0" w:space="0" w:color="auto"/>
            <w:left w:val="none" w:sz="0" w:space="0" w:color="auto"/>
            <w:bottom w:val="none" w:sz="0" w:space="0" w:color="auto"/>
            <w:right w:val="none" w:sz="0" w:space="0" w:color="auto"/>
          </w:divBdr>
          <w:divsChild>
            <w:div w:id="1165629912">
              <w:marLeft w:val="0"/>
              <w:marRight w:val="0"/>
              <w:marTop w:val="0"/>
              <w:marBottom w:val="0"/>
              <w:divBdr>
                <w:top w:val="none" w:sz="0" w:space="0" w:color="auto"/>
                <w:left w:val="none" w:sz="0" w:space="0" w:color="auto"/>
                <w:bottom w:val="none" w:sz="0" w:space="0" w:color="auto"/>
                <w:right w:val="none" w:sz="0" w:space="0" w:color="auto"/>
              </w:divBdr>
              <w:divsChild>
                <w:div w:id="216671737">
                  <w:marLeft w:val="0"/>
                  <w:marRight w:val="0"/>
                  <w:marTop w:val="0"/>
                  <w:marBottom w:val="0"/>
                  <w:divBdr>
                    <w:top w:val="none" w:sz="0" w:space="0" w:color="auto"/>
                    <w:left w:val="none" w:sz="0" w:space="0" w:color="auto"/>
                    <w:bottom w:val="none" w:sz="0" w:space="0" w:color="auto"/>
                    <w:right w:val="none" w:sz="0" w:space="0" w:color="auto"/>
                  </w:divBdr>
                  <w:divsChild>
                    <w:div w:id="16347931">
                      <w:marLeft w:val="0"/>
                      <w:marRight w:val="0"/>
                      <w:marTop w:val="0"/>
                      <w:marBottom w:val="0"/>
                      <w:divBdr>
                        <w:top w:val="none" w:sz="0" w:space="0" w:color="auto"/>
                        <w:left w:val="none" w:sz="0" w:space="0" w:color="auto"/>
                        <w:bottom w:val="none" w:sz="0" w:space="0" w:color="auto"/>
                        <w:right w:val="none" w:sz="0" w:space="0" w:color="auto"/>
                      </w:divBdr>
                      <w:divsChild>
                        <w:div w:id="2077971001">
                          <w:marLeft w:val="340"/>
                          <w:marRight w:val="0"/>
                          <w:marTop w:val="300"/>
                          <w:marBottom w:val="120"/>
                          <w:divBdr>
                            <w:top w:val="none" w:sz="0" w:space="0" w:color="auto"/>
                            <w:left w:val="none" w:sz="0" w:space="0" w:color="auto"/>
                            <w:bottom w:val="none" w:sz="0" w:space="0" w:color="auto"/>
                            <w:right w:val="none" w:sz="0" w:space="0" w:color="auto"/>
                          </w:divBdr>
                          <w:divsChild>
                            <w:div w:id="1186020589">
                              <w:marLeft w:val="0"/>
                              <w:marRight w:val="0"/>
                              <w:marTop w:val="0"/>
                              <w:marBottom w:val="0"/>
                              <w:divBdr>
                                <w:top w:val="none" w:sz="0" w:space="0" w:color="auto"/>
                                <w:left w:val="none" w:sz="0" w:space="0" w:color="auto"/>
                                <w:bottom w:val="none" w:sz="0" w:space="0" w:color="auto"/>
                                <w:right w:val="none" w:sz="0" w:space="0" w:color="auto"/>
                              </w:divBdr>
                              <w:divsChild>
                                <w:div w:id="119885559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39099992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63651338">
                                          <w:blockQuote w:val="1"/>
                                          <w:marLeft w:val="600"/>
                                          <w:marRight w:val="0"/>
                                          <w:marTop w:val="120"/>
                                          <w:marBottom w:val="120"/>
                                          <w:divBdr>
                                            <w:top w:val="none" w:sz="0" w:space="0" w:color="auto"/>
                                            <w:left w:val="none" w:sz="0" w:space="0" w:color="auto"/>
                                            <w:bottom w:val="none" w:sz="0" w:space="0" w:color="auto"/>
                                            <w:right w:val="none" w:sz="0" w:space="0" w:color="auto"/>
                                          </w:divBdr>
                                        </w:div>
                                        <w:div w:id="183830299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3414160">
      <w:bodyDiv w:val="1"/>
      <w:marLeft w:val="0"/>
      <w:marRight w:val="0"/>
      <w:marTop w:val="0"/>
      <w:marBottom w:val="0"/>
      <w:divBdr>
        <w:top w:val="none" w:sz="0" w:space="0" w:color="auto"/>
        <w:left w:val="none" w:sz="0" w:space="0" w:color="auto"/>
        <w:bottom w:val="none" w:sz="0" w:space="0" w:color="auto"/>
        <w:right w:val="none" w:sz="0" w:space="0" w:color="auto"/>
      </w:divBdr>
    </w:div>
    <w:div w:id="1828477421">
      <w:bodyDiv w:val="1"/>
      <w:marLeft w:val="0"/>
      <w:marRight w:val="0"/>
      <w:marTop w:val="0"/>
      <w:marBottom w:val="0"/>
      <w:divBdr>
        <w:top w:val="none" w:sz="0" w:space="0" w:color="auto"/>
        <w:left w:val="none" w:sz="0" w:space="0" w:color="auto"/>
        <w:bottom w:val="none" w:sz="0" w:space="0" w:color="auto"/>
        <w:right w:val="none" w:sz="0" w:space="0" w:color="auto"/>
      </w:divBdr>
    </w:div>
    <w:div w:id="1838954938">
      <w:bodyDiv w:val="1"/>
      <w:marLeft w:val="0"/>
      <w:marRight w:val="0"/>
      <w:marTop w:val="0"/>
      <w:marBottom w:val="0"/>
      <w:divBdr>
        <w:top w:val="none" w:sz="0" w:space="0" w:color="auto"/>
        <w:left w:val="none" w:sz="0" w:space="0" w:color="auto"/>
        <w:bottom w:val="none" w:sz="0" w:space="0" w:color="auto"/>
        <w:right w:val="none" w:sz="0" w:space="0" w:color="auto"/>
      </w:divBdr>
    </w:div>
    <w:div w:id="1861115153">
      <w:bodyDiv w:val="1"/>
      <w:marLeft w:val="0"/>
      <w:marRight w:val="0"/>
      <w:marTop w:val="0"/>
      <w:marBottom w:val="0"/>
      <w:divBdr>
        <w:top w:val="none" w:sz="0" w:space="0" w:color="auto"/>
        <w:left w:val="none" w:sz="0" w:space="0" w:color="auto"/>
        <w:bottom w:val="none" w:sz="0" w:space="0" w:color="auto"/>
        <w:right w:val="none" w:sz="0" w:space="0" w:color="auto"/>
      </w:divBdr>
      <w:divsChild>
        <w:div w:id="1823816271">
          <w:marLeft w:val="0"/>
          <w:marRight w:val="0"/>
          <w:marTop w:val="0"/>
          <w:marBottom w:val="0"/>
          <w:divBdr>
            <w:top w:val="none" w:sz="0" w:space="0" w:color="auto"/>
            <w:left w:val="none" w:sz="0" w:space="0" w:color="auto"/>
            <w:bottom w:val="none" w:sz="0" w:space="0" w:color="auto"/>
            <w:right w:val="none" w:sz="0" w:space="0" w:color="auto"/>
          </w:divBdr>
          <w:divsChild>
            <w:div w:id="450442083">
              <w:marLeft w:val="0"/>
              <w:marRight w:val="0"/>
              <w:marTop w:val="0"/>
              <w:marBottom w:val="0"/>
              <w:divBdr>
                <w:top w:val="none" w:sz="0" w:space="0" w:color="auto"/>
                <w:left w:val="none" w:sz="0" w:space="0" w:color="auto"/>
                <w:bottom w:val="none" w:sz="0" w:space="0" w:color="auto"/>
                <w:right w:val="none" w:sz="0" w:space="0" w:color="auto"/>
              </w:divBdr>
              <w:divsChild>
                <w:div w:id="1071736846">
                  <w:marLeft w:val="0"/>
                  <w:marRight w:val="0"/>
                  <w:marTop w:val="0"/>
                  <w:marBottom w:val="0"/>
                  <w:divBdr>
                    <w:top w:val="none" w:sz="0" w:space="0" w:color="auto"/>
                    <w:left w:val="none" w:sz="0" w:space="0" w:color="auto"/>
                    <w:bottom w:val="none" w:sz="0" w:space="0" w:color="auto"/>
                    <w:right w:val="none" w:sz="0" w:space="0" w:color="auto"/>
                  </w:divBdr>
                  <w:divsChild>
                    <w:div w:id="581069129">
                      <w:marLeft w:val="0"/>
                      <w:marRight w:val="0"/>
                      <w:marTop w:val="0"/>
                      <w:marBottom w:val="0"/>
                      <w:divBdr>
                        <w:top w:val="none" w:sz="0" w:space="0" w:color="auto"/>
                        <w:left w:val="none" w:sz="0" w:space="0" w:color="auto"/>
                        <w:bottom w:val="none" w:sz="0" w:space="0" w:color="auto"/>
                        <w:right w:val="none" w:sz="0" w:space="0" w:color="auto"/>
                      </w:divBdr>
                      <w:divsChild>
                        <w:div w:id="95035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111248">
      <w:bodyDiv w:val="1"/>
      <w:marLeft w:val="0"/>
      <w:marRight w:val="0"/>
      <w:marTop w:val="0"/>
      <w:marBottom w:val="0"/>
      <w:divBdr>
        <w:top w:val="none" w:sz="0" w:space="0" w:color="auto"/>
        <w:left w:val="none" w:sz="0" w:space="0" w:color="auto"/>
        <w:bottom w:val="none" w:sz="0" w:space="0" w:color="auto"/>
        <w:right w:val="none" w:sz="0" w:space="0" w:color="auto"/>
      </w:divBdr>
    </w:div>
    <w:div w:id="1933195377">
      <w:bodyDiv w:val="1"/>
      <w:marLeft w:val="0"/>
      <w:marRight w:val="0"/>
      <w:marTop w:val="0"/>
      <w:marBottom w:val="0"/>
      <w:divBdr>
        <w:top w:val="none" w:sz="0" w:space="0" w:color="auto"/>
        <w:left w:val="none" w:sz="0" w:space="0" w:color="auto"/>
        <w:bottom w:val="none" w:sz="0" w:space="0" w:color="auto"/>
        <w:right w:val="none" w:sz="0" w:space="0" w:color="auto"/>
      </w:divBdr>
    </w:div>
    <w:div w:id="1961299567">
      <w:bodyDiv w:val="1"/>
      <w:marLeft w:val="0"/>
      <w:marRight w:val="0"/>
      <w:marTop w:val="0"/>
      <w:marBottom w:val="0"/>
      <w:divBdr>
        <w:top w:val="none" w:sz="0" w:space="0" w:color="auto"/>
        <w:left w:val="none" w:sz="0" w:space="0" w:color="auto"/>
        <w:bottom w:val="none" w:sz="0" w:space="0" w:color="auto"/>
        <w:right w:val="none" w:sz="0" w:space="0" w:color="auto"/>
      </w:divBdr>
    </w:div>
    <w:div w:id="1996491164">
      <w:bodyDiv w:val="1"/>
      <w:marLeft w:val="0"/>
      <w:marRight w:val="0"/>
      <w:marTop w:val="0"/>
      <w:marBottom w:val="0"/>
      <w:divBdr>
        <w:top w:val="none" w:sz="0" w:space="0" w:color="auto"/>
        <w:left w:val="none" w:sz="0" w:space="0" w:color="auto"/>
        <w:bottom w:val="none" w:sz="0" w:space="0" w:color="auto"/>
        <w:right w:val="none" w:sz="0" w:space="0" w:color="auto"/>
      </w:divBdr>
      <w:divsChild>
        <w:div w:id="564681284">
          <w:marLeft w:val="0"/>
          <w:marRight w:val="0"/>
          <w:marTop w:val="0"/>
          <w:marBottom w:val="0"/>
          <w:divBdr>
            <w:top w:val="none" w:sz="0" w:space="0" w:color="auto"/>
            <w:left w:val="none" w:sz="0" w:space="0" w:color="auto"/>
            <w:bottom w:val="none" w:sz="0" w:space="0" w:color="auto"/>
            <w:right w:val="none" w:sz="0" w:space="0" w:color="auto"/>
          </w:divBdr>
          <w:divsChild>
            <w:div w:id="743183469">
              <w:marLeft w:val="0"/>
              <w:marRight w:val="0"/>
              <w:marTop w:val="0"/>
              <w:marBottom w:val="0"/>
              <w:divBdr>
                <w:top w:val="none" w:sz="0" w:space="0" w:color="auto"/>
                <w:left w:val="none" w:sz="0" w:space="0" w:color="auto"/>
                <w:bottom w:val="none" w:sz="0" w:space="0" w:color="auto"/>
                <w:right w:val="none" w:sz="0" w:space="0" w:color="auto"/>
              </w:divBdr>
              <w:divsChild>
                <w:div w:id="680350243">
                  <w:marLeft w:val="0"/>
                  <w:marRight w:val="0"/>
                  <w:marTop w:val="0"/>
                  <w:marBottom w:val="0"/>
                  <w:divBdr>
                    <w:top w:val="none" w:sz="0" w:space="0" w:color="auto"/>
                    <w:left w:val="none" w:sz="0" w:space="0" w:color="auto"/>
                    <w:bottom w:val="none" w:sz="0" w:space="0" w:color="auto"/>
                    <w:right w:val="none" w:sz="0" w:space="0" w:color="auto"/>
                  </w:divBdr>
                  <w:divsChild>
                    <w:div w:id="800154899">
                      <w:marLeft w:val="0"/>
                      <w:marRight w:val="0"/>
                      <w:marTop w:val="0"/>
                      <w:marBottom w:val="0"/>
                      <w:divBdr>
                        <w:top w:val="none" w:sz="0" w:space="0" w:color="auto"/>
                        <w:left w:val="none" w:sz="0" w:space="0" w:color="auto"/>
                        <w:bottom w:val="none" w:sz="0" w:space="0" w:color="auto"/>
                        <w:right w:val="none" w:sz="0" w:space="0" w:color="auto"/>
                      </w:divBdr>
                      <w:divsChild>
                        <w:div w:id="616453697">
                          <w:marLeft w:val="340"/>
                          <w:marRight w:val="0"/>
                          <w:marTop w:val="300"/>
                          <w:marBottom w:val="120"/>
                          <w:divBdr>
                            <w:top w:val="none" w:sz="0" w:space="0" w:color="auto"/>
                            <w:left w:val="none" w:sz="0" w:space="0" w:color="auto"/>
                            <w:bottom w:val="none" w:sz="0" w:space="0" w:color="auto"/>
                            <w:right w:val="none" w:sz="0" w:space="0" w:color="auto"/>
                          </w:divBdr>
                          <w:divsChild>
                            <w:div w:id="2132700842">
                              <w:marLeft w:val="0"/>
                              <w:marRight w:val="0"/>
                              <w:marTop w:val="0"/>
                              <w:marBottom w:val="0"/>
                              <w:divBdr>
                                <w:top w:val="none" w:sz="0" w:space="0" w:color="auto"/>
                                <w:left w:val="none" w:sz="0" w:space="0" w:color="auto"/>
                                <w:bottom w:val="none" w:sz="0" w:space="0" w:color="auto"/>
                                <w:right w:val="none" w:sz="0" w:space="0" w:color="auto"/>
                              </w:divBdr>
                              <w:divsChild>
                                <w:div w:id="112508189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667437141">
                                      <w:blockQuote w:val="1"/>
                                      <w:marLeft w:val="600"/>
                                      <w:marRight w:val="0"/>
                                      <w:marTop w:val="120"/>
                                      <w:marBottom w:val="120"/>
                                      <w:divBdr>
                                        <w:top w:val="none" w:sz="0" w:space="0" w:color="auto"/>
                                        <w:left w:val="none" w:sz="0" w:space="0" w:color="auto"/>
                                        <w:bottom w:val="none" w:sz="0" w:space="0" w:color="auto"/>
                                        <w:right w:val="none" w:sz="0" w:space="0" w:color="auto"/>
                                      </w:divBdr>
                                    </w:div>
                                    <w:div w:id="209311915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836306">
      <w:bodyDiv w:val="1"/>
      <w:marLeft w:val="0"/>
      <w:marRight w:val="0"/>
      <w:marTop w:val="0"/>
      <w:marBottom w:val="0"/>
      <w:divBdr>
        <w:top w:val="none" w:sz="0" w:space="0" w:color="auto"/>
        <w:left w:val="none" w:sz="0" w:space="0" w:color="auto"/>
        <w:bottom w:val="none" w:sz="0" w:space="0" w:color="auto"/>
        <w:right w:val="none" w:sz="0" w:space="0" w:color="auto"/>
      </w:divBdr>
    </w:div>
    <w:div w:id="2040009795">
      <w:bodyDiv w:val="1"/>
      <w:marLeft w:val="0"/>
      <w:marRight w:val="0"/>
      <w:marTop w:val="0"/>
      <w:marBottom w:val="0"/>
      <w:divBdr>
        <w:top w:val="none" w:sz="0" w:space="0" w:color="auto"/>
        <w:left w:val="none" w:sz="0" w:space="0" w:color="auto"/>
        <w:bottom w:val="none" w:sz="0" w:space="0" w:color="auto"/>
        <w:right w:val="none" w:sz="0" w:space="0" w:color="auto"/>
      </w:divBdr>
    </w:div>
    <w:div w:id="2040471149">
      <w:bodyDiv w:val="1"/>
      <w:marLeft w:val="0"/>
      <w:marRight w:val="0"/>
      <w:marTop w:val="0"/>
      <w:marBottom w:val="0"/>
      <w:divBdr>
        <w:top w:val="none" w:sz="0" w:space="0" w:color="auto"/>
        <w:left w:val="none" w:sz="0" w:space="0" w:color="auto"/>
        <w:bottom w:val="none" w:sz="0" w:space="0" w:color="auto"/>
        <w:right w:val="none" w:sz="0" w:space="0" w:color="auto"/>
      </w:divBdr>
    </w:div>
    <w:div w:id="2047442249">
      <w:bodyDiv w:val="1"/>
      <w:marLeft w:val="0"/>
      <w:marRight w:val="0"/>
      <w:marTop w:val="0"/>
      <w:marBottom w:val="0"/>
      <w:divBdr>
        <w:top w:val="none" w:sz="0" w:space="0" w:color="auto"/>
        <w:left w:val="none" w:sz="0" w:space="0" w:color="auto"/>
        <w:bottom w:val="none" w:sz="0" w:space="0" w:color="auto"/>
        <w:right w:val="none" w:sz="0" w:space="0" w:color="auto"/>
      </w:divBdr>
    </w:div>
    <w:div w:id="2064983558">
      <w:bodyDiv w:val="1"/>
      <w:marLeft w:val="0"/>
      <w:marRight w:val="0"/>
      <w:marTop w:val="0"/>
      <w:marBottom w:val="0"/>
      <w:divBdr>
        <w:top w:val="none" w:sz="0" w:space="0" w:color="auto"/>
        <w:left w:val="none" w:sz="0" w:space="0" w:color="auto"/>
        <w:bottom w:val="none" w:sz="0" w:space="0" w:color="auto"/>
        <w:right w:val="none" w:sz="0" w:space="0" w:color="auto"/>
      </w:divBdr>
    </w:div>
    <w:div w:id="2104111384">
      <w:bodyDiv w:val="1"/>
      <w:marLeft w:val="0"/>
      <w:marRight w:val="0"/>
      <w:marTop w:val="0"/>
      <w:marBottom w:val="0"/>
      <w:divBdr>
        <w:top w:val="none" w:sz="0" w:space="0" w:color="auto"/>
        <w:left w:val="none" w:sz="0" w:space="0" w:color="auto"/>
        <w:bottom w:val="none" w:sz="0" w:space="0" w:color="auto"/>
        <w:right w:val="none" w:sz="0" w:space="0" w:color="auto"/>
      </w:divBdr>
    </w:div>
    <w:div w:id="214114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60BF0A6868C34AB0EEE571C706A390" ma:contentTypeVersion="9" ma:contentTypeDescription="Create a new document." ma:contentTypeScope="" ma:versionID="87a9ca614c7d2ba57f8bddce061afd69">
  <xsd:schema xmlns:xsd="http://www.w3.org/2001/XMLSchema" xmlns:xs="http://www.w3.org/2001/XMLSchema" xmlns:p="http://schemas.microsoft.com/office/2006/metadata/properties" xmlns:ns3="04bf93d0-8d4f-4246-b2f2-85249239d7ff" targetNamespace="http://schemas.microsoft.com/office/2006/metadata/properties" ma:root="true" ma:fieldsID="b05bccecab58bc97deec3124b43be5c1" ns3:_="">
    <xsd:import namespace="04bf93d0-8d4f-4246-b2f2-85249239d7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f93d0-8d4f-4246-b2f2-85249239d7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910BB-A933-432D-9C7F-3FB55CDB9B7B}">
  <ds:schemaRefs>
    <ds:schemaRef ds:uri="http://schemas.microsoft.com/office/infopath/2007/PartnerControls"/>
    <ds:schemaRef ds:uri="04bf93d0-8d4f-4246-b2f2-85249239d7ff"/>
    <ds:schemaRef ds:uri="http://schemas.microsoft.com/office/2006/documentManagement/types"/>
    <ds:schemaRef ds:uri="http://purl.org/dc/elements/1.1/"/>
    <ds:schemaRef ds:uri="http://schemas.microsoft.com/office/2006/metadata/properties"/>
    <ds:schemaRef ds:uri="http://www.w3.org/XML/1998/namespace"/>
    <ds:schemaRef ds:uri="http://purl.org/dc/term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710FC548-1D6F-40F9-BC74-608BA9F08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f93d0-8d4f-4246-b2f2-85249239d7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43FE2F-E5A0-472C-97AC-CFE03A50FFD5}">
  <ds:schemaRefs>
    <ds:schemaRef ds:uri="http://schemas.microsoft.com/sharepoint/v3/contenttype/forms"/>
  </ds:schemaRefs>
</ds:datastoreItem>
</file>

<file path=customXml/itemProps4.xml><?xml version="1.0" encoding="utf-8"?>
<ds:datastoreItem xmlns:ds="http://schemas.openxmlformats.org/officeDocument/2006/customXml" ds:itemID="{917382F8-B815-4F94-A329-86D48AF89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9107</Words>
  <Characters>51912</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Section 4 - Aboriginal and Torres Strait Islander Partnerships - Department of Seniors, Disability Services and Aboriginal and Torres Strait Islander Partnerships</vt:lpstr>
    </vt:vector>
  </TitlesOfParts>
  <Manager/>
  <Company>Queensland Government</Company>
  <LinksUpToDate>false</LinksUpToDate>
  <CharactersWithSpaces>60898</CharactersWithSpaces>
  <SharedDoc>false</SharedDoc>
  <HyperlinkBase/>
  <HLinks>
    <vt:vector size="24" baseType="variant">
      <vt:variant>
        <vt:i4>1572918</vt:i4>
      </vt:variant>
      <vt:variant>
        <vt:i4>20</vt:i4>
      </vt:variant>
      <vt:variant>
        <vt:i4>0</vt:i4>
      </vt:variant>
      <vt:variant>
        <vt:i4>5</vt:i4>
      </vt:variant>
      <vt:variant>
        <vt:lpwstr/>
      </vt:variant>
      <vt:variant>
        <vt:lpwstr>_Toc383761011</vt:lpwstr>
      </vt:variant>
      <vt:variant>
        <vt:i4>1572918</vt:i4>
      </vt:variant>
      <vt:variant>
        <vt:i4>14</vt:i4>
      </vt:variant>
      <vt:variant>
        <vt:i4>0</vt:i4>
      </vt:variant>
      <vt:variant>
        <vt:i4>5</vt:i4>
      </vt:variant>
      <vt:variant>
        <vt:lpwstr/>
      </vt:variant>
      <vt:variant>
        <vt:lpwstr>_Toc383761010</vt:lpwstr>
      </vt:variant>
      <vt:variant>
        <vt:i4>1638454</vt:i4>
      </vt:variant>
      <vt:variant>
        <vt:i4>8</vt:i4>
      </vt:variant>
      <vt:variant>
        <vt:i4>0</vt:i4>
      </vt:variant>
      <vt:variant>
        <vt:i4>5</vt:i4>
      </vt:variant>
      <vt:variant>
        <vt:lpwstr/>
      </vt:variant>
      <vt:variant>
        <vt:lpwstr>_Toc383761009</vt:lpwstr>
      </vt:variant>
      <vt:variant>
        <vt:i4>1638454</vt:i4>
      </vt:variant>
      <vt:variant>
        <vt:i4>2</vt:i4>
      </vt:variant>
      <vt:variant>
        <vt:i4>0</vt:i4>
      </vt:variant>
      <vt:variant>
        <vt:i4>5</vt:i4>
      </vt:variant>
      <vt:variant>
        <vt:lpwstr/>
      </vt:variant>
      <vt:variant>
        <vt:lpwstr>_Toc383761008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4 - Aboriginal and Torres Strait Islander Partnerships - Department of Seniors, Disability Services and Aboriginal and Torres Strait Islander Partnerships</dc:title>
  <dc:subject>Annual Report</dc:subject>
  <dc:creator>Queensland Government</dc:creator>
  <cp:keywords>dsdsatsip; annual; report; department; strategic; governance; services; disability; seniors; Aboriginal; Torres Strait Islander; financial performance; capability; statements; boards; committees; purpose; vision; management; culture; objectives</cp:keywords>
  <dc:description/>
  <cp:lastModifiedBy>Tanya R Campbell</cp:lastModifiedBy>
  <cp:revision>3</cp:revision>
  <cp:lastPrinted>2021-09-22T04:09:00Z</cp:lastPrinted>
  <dcterms:created xsi:type="dcterms:W3CDTF">2021-09-28T01:01:00Z</dcterms:created>
  <dcterms:modified xsi:type="dcterms:W3CDTF">2021-09-28T01:14:00Z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1210822972</vt:i4>
  </property>
  <property fmtid="{D5CDD505-2E9C-101B-9397-08002B2CF9AE}" pid="3" name="ContentTypeId">
    <vt:lpwstr>0x0101001F60BF0A6868C34AB0EEE571C706A390</vt:lpwstr>
  </property>
</Properties>
</file>